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EF3E0" w14:textId="77777777" w:rsidR="00C44DF4" w:rsidRDefault="00000000" w:rsidP="00611040">
      <w:pPr>
        <w:jc w:val="both"/>
        <w:rPr>
          <w:rFonts w:cs="Arial"/>
        </w:rPr>
      </w:pPr>
      <w:r>
        <w:rPr>
          <w:rFonts w:cs="Arial"/>
        </w:rPr>
        <w:t>Appendix 1: Requirements and specifications</w:t>
      </w:r>
    </w:p>
    <w:p w14:paraId="38CE8B07" w14:textId="77777777" w:rsidR="00C44DF4" w:rsidRDefault="00000000" w:rsidP="00611040">
      <w:pPr>
        <w:spacing w:line="360" w:lineRule="auto"/>
        <w:ind w:left="900"/>
        <w:jc w:val="both"/>
      </w:pPr>
      <w:r>
        <w:rPr>
          <w:rFonts w:cs="Arial"/>
          <w:b/>
          <w:sz w:val="28"/>
          <w:szCs w:val="28"/>
        </w:rPr>
        <w:t xml:space="preserve">Tender for Sampling and Analysis of Private Water Supplies in County Wexford  </w:t>
      </w:r>
    </w:p>
    <w:p w14:paraId="66B85D4A" w14:textId="77777777" w:rsidR="00C44DF4" w:rsidRDefault="00000000" w:rsidP="00611040">
      <w:pPr>
        <w:numPr>
          <w:ilvl w:val="0"/>
          <w:numId w:val="1"/>
        </w:numPr>
        <w:spacing w:before="0" w:after="0" w:line="276" w:lineRule="auto"/>
        <w:ind w:left="851"/>
        <w:jc w:val="both"/>
        <w:rPr>
          <w:rFonts w:cs="Arial"/>
          <w:b/>
          <w:u w:val="single"/>
        </w:rPr>
      </w:pPr>
      <w:r>
        <w:rPr>
          <w:rFonts w:cs="Arial"/>
          <w:b/>
          <w:u w:val="single"/>
        </w:rPr>
        <w:t xml:space="preserve"> Introduction</w:t>
      </w:r>
    </w:p>
    <w:p w14:paraId="49DFC03E" w14:textId="77777777" w:rsidR="00C44DF4" w:rsidRDefault="00000000" w:rsidP="00611040">
      <w:pPr>
        <w:ind w:left="993"/>
        <w:jc w:val="both"/>
        <w:rPr>
          <w:rFonts w:cs="Arial"/>
        </w:rPr>
      </w:pPr>
      <w:r>
        <w:rPr>
          <w:rFonts w:cs="Arial"/>
        </w:rPr>
        <w:t>Wexford County Council intends to set up an agreement for a third party to sample, test and report to Wexford County Council the various small private supplies throughout Co. Wexford.</w:t>
      </w:r>
    </w:p>
    <w:p w14:paraId="27DED4A1" w14:textId="5A7925E7" w:rsidR="00C44DF4" w:rsidRDefault="00000000" w:rsidP="00611040">
      <w:pPr>
        <w:ind w:left="993"/>
        <w:jc w:val="both"/>
        <w:rPr>
          <w:rFonts w:cs="Arial"/>
        </w:rPr>
      </w:pPr>
      <w:r>
        <w:rPr>
          <w:rFonts w:cs="Arial"/>
        </w:rPr>
        <w:t xml:space="preserve">Wexford County Council is required to monitor certain group water schemes and private premises which have their own wells, including caravan parks, schools, estates and commercial properties. There are currently approximately 170 private supplies. Wexford County Council </w:t>
      </w:r>
      <w:r w:rsidR="00785AD8">
        <w:rPr>
          <w:rFonts w:cs="Arial"/>
        </w:rPr>
        <w:t>including</w:t>
      </w:r>
      <w:r>
        <w:rPr>
          <w:rFonts w:cs="Arial"/>
        </w:rPr>
        <w:t xml:space="preserve"> c. 20 small public schemes and estates taken in charge currently and not under </w:t>
      </w:r>
      <w:r w:rsidR="00F2528C" w:rsidRPr="00F2528C">
        <w:rPr>
          <w:rFonts w:cs="Arial"/>
        </w:rPr>
        <w:t xml:space="preserve">Uisce </w:t>
      </w:r>
      <w:r w:rsidR="00785AD8" w:rsidRPr="00F2528C">
        <w:rPr>
          <w:rFonts w:cs="Arial"/>
        </w:rPr>
        <w:t>Eireann</w:t>
      </w:r>
      <w:r w:rsidR="00785AD8">
        <w:rPr>
          <w:rFonts w:cs="Arial"/>
        </w:rPr>
        <w:t>’s</w:t>
      </w:r>
      <w:r w:rsidR="00F2528C">
        <w:rPr>
          <w:rFonts w:cs="Arial"/>
        </w:rPr>
        <w:t xml:space="preserve"> </w:t>
      </w:r>
      <w:r>
        <w:rPr>
          <w:rFonts w:cs="Arial"/>
        </w:rPr>
        <w:t>remit.</w:t>
      </w:r>
    </w:p>
    <w:p w14:paraId="2A8FF09E" w14:textId="74AFE30F" w:rsidR="00C44DF4" w:rsidRDefault="00000000" w:rsidP="00611040">
      <w:pPr>
        <w:ind w:left="993"/>
        <w:jc w:val="both"/>
        <w:rPr>
          <w:rFonts w:cs="Arial"/>
        </w:rPr>
      </w:pPr>
      <w:r>
        <w:rPr>
          <w:rFonts w:cs="Arial"/>
        </w:rPr>
        <w:t xml:space="preserve">The drinking water is sampled and analysed in accordance with </w:t>
      </w:r>
      <w:r w:rsidR="00F2528C" w:rsidRPr="00F2528C">
        <w:rPr>
          <w:rFonts w:cs="Arial"/>
        </w:rPr>
        <w:t>S.I. No. 99/2023 - European Union (Drinking Water) Regulations 2023</w:t>
      </w:r>
      <w:r w:rsidR="00F2528C">
        <w:rPr>
          <w:rFonts w:cs="Arial"/>
        </w:rPr>
        <w:t>.</w:t>
      </w:r>
      <w:r>
        <w:rPr>
          <w:rFonts w:cs="Arial"/>
        </w:rPr>
        <w:t xml:space="preserve"> Results are reported to Wexford County Council each month. </w:t>
      </w:r>
    </w:p>
    <w:p w14:paraId="6F0EA5DA" w14:textId="433DCF11" w:rsidR="00C44DF4" w:rsidRDefault="00000000" w:rsidP="00611040">
      <w:pPr>
        <w:ind w:left="993"/>
        <w:jc w:val="both"/>
      </w:pPr>
      <w:r>
        <w:rPr>
          <w:rFonts w:cs="Arial"/>
        </w:rPr>
        <w:t>The current sampling contract ends on December 31</w:t>
      </w:r>
      <w:r>
        <w:rPr>
          <w:rFonts w:cs="Arial"/>
          <w:vertAlign w:val="superscript"/>
        </w:rPr>
        <w:t>st</w:t>
      </w:r>
      <w:proofErr w:type="gramStart"/>
      <w:r>
        <w:rPr>
          <w:rFonts w:cs="Arial"/>
        </w:rPr>
        <w:t xml:space="preserve"> </w:t>
      </w:r>
      <w:r w:rsidRPr="00F2528C">
        <w:rPr>
          <w:rFonts w:cs="Arial"/>
        </w:rPr>
        <w:t>202</w:t>
      </w:r>
      <w:r w:rsidR="00F2528C">
        <w:rPr>
          <w:rFonts w:cs="Arial"/>
        </w:rPr>
        <w:t>6</w:t>
      </w:r>
      <w:proofErr w:type="gramEnd"/>
      <w:r>
        <w:rPr>
          <w:rFonts w:cs="Arial"/>
        </w:rPr>
        <w:t xml:space="preserve"> and Wexford County Council is now requesting tenders from interested parties for provision of these services for a </w:t>
      </w:r>
      <w:r w:rsidR="00611040">
        <w:rPr>
          <w:rFonts w:cs="Arial"/>
        </w:rPr>
        <w:t>two-year</w:t>
      </w:r>
      <w:r>
        <w:rPr>
          <w:rFonts w:cs="Arial"/>
        </w:rPr>
        <w:t xml:space="preserve"> term with up to two, one</w:t>
      </w:r>
      <w:r w:rsidR="00611040">
        <w:rPr>
          <w:rFonts w:cs="Arial"/>
        </w:rPr>
        <w:t>-</w:t>
      </w:r>
      <w:r>
        <w:rPr>
          <w:rFonts w:cs="Arial"/>
        </w:rPr>
        <w:t xml:space="preserve">year extensions possible. </w:t>
      </w:r>
    </w:p>
    <w:p w14:paraId="5D5D7E48" w14:textId="01560516" w:rsidR="00C44DF4" w:rsidRDefault="00000000" w:rsidP="00611040">
      <w:pPr>
        <w:suppressAutoHyphens w:val="0"/>
        <w:spacing w:before="0" w:after="160" w:line="276" w:lineRule="auto"/>
        <w:jc w:val="both"/>
        <w:rPr>
          <w:rFonts w:cs="Arial"/>
          <w:b/>
          <w:u w:val="single"/>
        </w:rPr>
      </w:pPr>
      <w:r>
        <w:rPr>
          <w:rFonts w:cs="Arial"/>
          <w:b/>
          <w:u w:val="single"/>
        </w:rPr>
        <w:t>Scope of work:</w:t>
      </w:r>
    </w:p>
    <w:p w14:paraId="66C2887D" w14:textId="77777777" w:rsidR="00C44DF4" w:rsidRDefault="00000000" w:rsidP="00611040">
      <w:pPr>
        <w:ind w:left="900"/>
        <w:jc w:val="both"/>
        <w:rPr>
          <w:rFonts w:cs="Arial"/>
        </w:rPr>
      </w:pPr>
      <w:r>
        <w:rPr>
          <w:rFonts w:cs="Arial"/>
        </w:rPr>
        <w:t>The service provider will be required to provide the following services:</w:t>
      </w:r>
    </w:p>
    <w:p w14:paraId="4FFB18AC" w14:textId="76F503A6" w:rsidR="00C44DF4" w:rsidRDefault="00000000" w:rsidP="00611040">
      <w:pPr>
        <w:numPr>
          <w:ilvl w:val="0"/>
          <w:numId w:val="2"/>
        </w:numPr>
        <w:spacing w:before="0" w:after="0" w:line="276" w:lineRule="auto"/>
        <w:jc w:val="both"/>
        <w:rPr>
          <w:rFonts w:cs="Arial"/>
        </w:rPr>
      </w:pPr>
      <w:r>
        <w:rPr>
          <w:rFonts w:cs="Arial"/>
        </w:rPr>
        <w:t xml:space="preserve">Compliance (and occasional investigative) sampling and analysis of drinking water for both 'check' (Group A) and 'audit' (Group B) parameters as set down by </w:t>
      </w:r>
      <w:r w:rsidR="00F2528C" w:rsidRPr="00F2528C">
        <w:rPr>
          <w:rFonts w:cs="Arial"/>
        </w:rPr>
        <w:t>S.I. No. 99/2023 - European Union (Drinking Water) Regulations 2023</w:t>
      </w:r>
      <w:r w:rsidR="00F2528C">
        <w:rPr>
          <w:rFonts w:cs="Arial"/>
        </w:rPr>
        <w:t xml:space="preserve"> </w:t>
      </w:r>
      <w:r>
        <w:rPr>
          <w:rFonts w:cs="Arial"/>
        </w:rPr>
        <w:t>and listed on Tables 1-2 of this document.</w:t>
      </w:r>
    </w:p>
    <w:p w14:paraId="6EEE6296" w14:textId="6C7DE24E" w:rsidR="00C44DF4" w:rsidRDefault="00000000" w:rsidP="00611040">
      <w:pPr>
        <w:numPr>
          <w:ilvl w:val="0"/>
          <w:numId w:val="2"/>
        </w:numPr>
        <w:spacing w:before="0" w:after="0" w:line="276" w:lineRule="auto"/>
        <w:jc w:val="both"/>
      </w:pPr>
      <w:r>
        <w:rPr>
          <w:rFonts w:cs="Arial"/>
        </w:rPr>
        <w:t xml:space="preserve">Additional parameters may be required during the Contract period as per the requirements of the EU and Irish government requirements. The rates supplied </w:t>
      </w:r>
      <w:r w:rsidR="005302D4">
        <w:rPr>
          <w:rFonts w:cs="Arial"/>
        </w:rPr>
        <w:t xml:space="preserve">will </w:t>
      </w:r>
      <w:r>
        <w:rPr>
          <w:rFonts w:cs="Arial"/>
        </w:rPr>
        <w:t>be used if those parameters require to be sampled</w:t>
      </w:r>
      <w:r>
        <w:rPr>
          <w:rFonts w:cs="Arial"/>
          <w:color w:val="FF0000"/>
        </w:rPr>
        <w:t xml:space="preserve">. </w:t>
      </w:r>
      <w:r>
        <w:rPr>
          <w:rFonts w:cs="Arial"/>
        </w:rPr>
        <w:t>Should additional parameters be added then these will be discussed as required.</w:t>
      </w:r>
    </w:p>
    <w:p w14:paraId="4A49081B" w14:textId="77777777" w:rsidR="00C44DF4" w:rsidRDefault="00000000" w:rsidP="00611040">
      <w:pPr>
        <w:numPr>
          <w:ilvl w:val="0"/>
          <w:numId w:val="2"/>
        </w:numPr>
        <w:spacing w:before="0" w:after="0" w:line="276" w:lineRule="auto"/>
        <w:jc w:val="both"/>
        <w:rPr>
          <w:rFonts w:cs="Arial"/>
        </w:rPr>
      </w:pPr>
      <w:r>
        <w:rPr>
          <w:rFonts w:cs="Arial"/>
        </w:rPr>
        <w:t xml:space="preserve">Investigative sampling as requested by the Council. These are normally duplicate samples </w:t>
      </w:r>
      <w:proofErr w:type="spellStart"/>
      <w:proofErr w:type="gramStart"/>
      <w:r>
        <w:rPr>
          <w:rFonts w:cs="Arial"/>
        </w:rPr>
        <w:t>i.e</w:t>
      </w:r>
      <w:proofErr w:type="spellEnd"/>
      <w:proofErr w:type="gramEnd"/>
      <w:r>
        <w:rPr>
          <w:rFonts w:cs="Arial"/>
        </w:rPr>
        <w:t xml:space="preserve"> coliforms, </w:t>
      </w:r>
      <w:proofErr w:type="gramStart"/>
      <w:r>
        <w:rPr>
          <w:rFonts w:cs="Arial"/>
        </w:rPr>
        <w:t>E.coli</w:t>
      </w:r>
      <w:proofErr w:type="gramEnd"/>
      <w:r>
        <w:rPr>
          <w:rFonts w:cs="Arial"/>
        </w:rPr>
        <w:t xml:space="preserve"> and sometimes free and total chlorine. Although any exceedance resulting from a sample will require a resample. Resamples following exceedances will be required and may include other parameters.  </w:t>
      </w:r>
    </w:p>
    <w:p w14:paraId="6EC8D823" w14:textId="77777777" w:rsidR="00C44DF4" w:rsidRDefault="00000000" w:rsidP="00611040">
      <w:pPr>
        <w:numPr>
          <w:ilvl w:val="0"/>
          <w:numId w:val="2"/>
        </w:numPr>
        <w:spacing w:before="0" w:after="0" w:line="276" w:lineRule="auto"/>
        <w:jc w:val="both"/>
        <w:rPr>
          <w:rFonts w:cs="Arial"/>
        </w:rPr>
      </w:pPr>
      <w:r>
        <w:rPr>
          <w:rFonts w:cs="Arial"/>
        </w:rPr>
        <w:t>In accordance with EPA requirements, all analysis of parameters in samples (except for free and total chlorine, odour and taste) shall be accredited.</w:t>
      </w:r>
    </w:p>
    <w:p w14:paraId="2A1898DF" w14:textId="77777777" w:rsidR="00C44DF4" w:rsidRDefault="00000000" w:rsidP="00611040">
      <w:pPr>
        <w:numPr>
          <w:ilvl w:val="0"/>
          <w:numId w:val="2"/>
        </w:numPr>
        <w:spacing w:before="0" w:after="0" w:line="276" w:lineRule="auto"/>
        <w:jc w:val="both"/>
        <w:rPr>
          <w:rFonts w:cs="Arial"/>
        </w:rPr>
      </w:pPr>
      <w:r>
        <w:rPr>
          <w:rFonts w:cs="Arial"/>
        </w:rPr>
        <w:t>Reporting of results to Wexford County Council as per section 5 below.</w:t>
      </w:r>
    </w:p>
    <w:p w14:paraId="0CAD7B0E" w14:textId="77777777" w:rsidR="00C44DF4" w:rsidRDefault="00C44DF4" w:rsidP="00611040">
      <w:pPr>
        <w:ind w:left="900"/>
        <w:jc w:val="both"/>
        <w:rPr>
          <w:rFonts w:cs="Arial"/>
        </w:rPr>
      </w:pPr>
    </w:p>
    <w:p w14:paraId="76568BF8" w14:textId="77777777" w:rsidR="00C44DF4" w:rsidRDefault="00000000" w:rsidP="00611040">
      <w:pPr>
        <w:ind w:left="851"/>
        <w:jc w:val="both"/>
        <w:rPr>
          <w:rFonts w:cs="Arial"/>
        </w:rPr>
      </w:pPr>
      <w:r>
        <w:rPr>
          <w:rFonts w:cs="Arial"/>
        </w:rPr>
        <w:t xml:space="preserve">There are currently about 170 public, private and group water supplies (Entities) being sampled. This number is variable due to the occasional closing and addition of schemes. It is expected that </w:t>
      </w:r>
      <w:proofErr w:type="gramStart"/>
      <w:r>
        <w:rPr>
          <w:rFonts w:cs="Arial"/>
        </w:rPr>
        <w:t>a number of</w:t>
      </w:r>
      <w:proofErr w:type="gramEnd"/>
      <w:r>
        <w:rPr>
          <w:rFonts w:cs="Arial"/>
        </w:rPr>
        <w:t xml:space="preserve"> additional schemes could be added during the remainder of 2026 and likewise throughout the course of the contract and these </w:t>
      </w:r>
      <w:r>
        <w:rPr>
          <w:rFonts w:cs="Arial"/>
        </w:rPr>
        <w:lastRenderedPageBreak/>
        <w:t xml:space="preserve">additional entities shall be sampled and analysed at tender rates. Each scheme shall generally have two check samples (Group A) carried out annually. A small number of schemes will have one check sample or more than two check samples and/or will require an audit (Group B) sample. </w:t>
      </w:r>
    </w:p>
    <w:p w14:paraId="714498A9" w14:textId="77777777" w:rsidR="00C44DF4" w:rsidRDefault="00000000" w:rsidP="00611040">
      <w:pPr>
        <w:ind w:left="851"/>
        <w:jc w:val="both"/>
        <w:rPr>
          <w:rFonts w:cs="Arial"/>
        </w:rPr>
      </w:pPr>
      <w:r>
        <w:rPr>
          <w:rFonts w:cs="Arial"/>
        </w:rPr>
        <w:t>The current lists of water supply schemes (Small public, Group, Private and Private (ex HSE) showing entities, sampling stations and GPS coordinates (Irish Grid) are given in Schedules 1-5 (attached separately).</w:t>
      </w:r>
    </w:p>
    <w:p w14:paraId="6493294F" w14:textId="77777777" w:rsidR="00A6682B" w:rsidRDefault="00000000" w:rsidP="00611040">
      <w:pPr>
        <w:ind w:left="851"/>
        <w:jc w:val="both"/>
        <w:rPr>
          <w:rFonts w:cs="Arial"/>
        </w:rPr>
      </w:pPr>
      <w:r>
        <w:rPr>
          <w:rFonts w:cs="Arial"/>
        </w:rPr>
        <w:t xml:space="preserve">The laboratory appointed (and/or </w:t>
      </w:r>
      <w:proofErr w:type="gramStart"/>
      <w:r>
        <w:rPr>
          <w:rFonts w:cs="Arial"/>
        </w:rPr>
        <w:t>sub contracted</w:t>
      </w:r>
      <w:proofErr w:type="gramEnd"/>
      <w:r>
        <w:rPr>
          <w:rFonts w:cs="Arial"/>
        </w:rPr>
        <w:t xml:space="preserve"> laboratory) must be accredited to INAB (or equivalent) for all relevant parameters.</w:t>
      </w:r>
    </w:p>
    <w:p w14:paraId="2061A1C4" w14:textId="5592EC8E" w:rsidR="00C44DF4" w:rsidRDefault="00000000" w:rsidP="00611040">
      <w:pPr>
        <w:ind w:left="851"/>
        <w:jc w:val="both"/>
        <w:rPr>
          <w:rFonts w:cs="Arial"/>
        </w:rPr>
      </w:pPr>
      <w:r>
        <w:rPr>
          <w:rFonts w:cs="Arial"/>
        </w:rPr>
        <w:t>The Council may request to have investigative samples taken on any of the</w:t>
      </w:r>
      <w:r w:rsidR="00A6682B">
        <w:rPr>
          <w:rFonts w:cs="Arial"/>
        </w:rPr>
        <w:t xml:space="preserve"> </w:t>
      </w:r>
      <w:r>
        <w:rPr>
          <w:rFonts w:cs="Arial"/>
        </w:rPr>
        <w:t>schemes. These are sometimes duplicate samples but there will be other parameters. These samples shall be charged for at tender rates.</w:t>
      </w:r>
    </w:p>
    <w:p w14:paraId="5C87A6E8" w14:textId="77777777" w:rsidR="00C44DF4" w:rsidRDefault="00C44DF4" w:rsidP="00611040">
      <w:pPr>
        <w:ind w:left="720"/>
        <w:jc w:val="both"/>
        <w:rPr>
          <w:rFonts w:cs="Arial"/>
        </w:rPr>
      </w:pPr>
    </w:p>
    <w:p w14:paraId="5B1AEFCA" w14:textId="77777777" w:rsidR="00C44DF4" w:rsidRDefault="00000000" w:rsidP="00611040">
      <w:pPr>
        <w:numPr>
          <w:ilvl w:val="0"/>
          <w:numId w:val="3"/>
        </w:numPr>
        <w:spacing w:before="0" w:after="0" w:line="276" w:lineRule="auto"/>
        <w:ind w:left="709"/>
        <w:jc w:val="both"/>
        <w:rPr>
          <w:rFonts w:cs="Arial"/>
          <w:b/>
          <w:u w:val="single"/>
        </w:rPr>
      </w:pPr>
      <w:r>
        <w:rPr>
          <w:rFonts w:cs="Arial"/>
          <w:b/>
          <w:u w:val="single"/>
        </w:rPr>
        <w:t>Sampling of waters</w:t>
      </w:r>
    </w:p>
    <w:p w14:paraId="336E0C99" w14:textId="77777777" w:rsidR="00C44DF4" w:rsidRDefault="00000000" w:rsidP="00611040">
      <w:pPr>
        <w:ind w:left="709"/>
        <w:jc w:val="both"/>
        <w:rPr>
          <w:rFonts w:cs="Arial"/>
        </w:rPr>
      </w:pPr>
      <w:r>
        <w:rPr>
          <w:rFonts w:cs="Arial"/>
        </w:rPr>
        <w:t>Check and audit parameters to be sampled for and analysed are given below.</w:t>
      </w:r>
    </w:p>
    <w:p w14:paraId="1FE618DC" w14:textId="77777777" w:rsidR="00C44DF4" w:rsidRDefault="00C44DF4" w:rsidP="00611040">
      <w:pPr>
        <w:ind w:left="709"/>
        <w:jc w:val="both"/>
        <w:rPr>
          <w:rFonts w:cs="Arial"/>
        </w:rPr>
      </w:pPr>
    </w:p>
    <w:p w14:paraId="59546A24" w14:textId="77777777" w:rsidR="00C44DF4" w:rsidRDefault="00000000" w:rsidP="00611040">
      <w:pPr>
        <w:ind w:left="709"/>
        <w:jc w:val="both"/>
        <w:rPr>
          <w:rFonts w:cs="Arial"/>
        </w:rPr>
      </w:pPr>
      <w:r>
        <w:rPr>
          <w:rFonts w:cs="Arial"/>
        </w:rPr>
        <w:t>The Council will supply the winning tenderer with a sampling schedule for 2027 along with contact details of the customers. All routine compliance sampling is to be carried out in the period January to the end of November of any particular year. No sampling shall be carried out on Fridays.</w:t>
      </w:r>
    </w:p>
    <w:p w14:paraId="1678C617" w14:textId="77777777" w:rsidR="00C44DF4" w:rsidRDefault="00C44DF4" w:rsidP="00611040">
      <w:pPr>
        <w:ind w:left="709"/>
        <w:jc w:val="both"/>
        <w:rPr>
          <w:rFonts w:cs="Arial"/>
        </w:rPr>
      </w:pPr>
    </w:p>
    <w:p w14:paraId="3254201F" w14:textId="30DAAD06" w:rsidR="00C44DF4" w:rsidRDefault="00000000" w:rsidP="00611040">
      <w:pPr>
        <w:ind w:left="709"/>
        <w:jc w:val="both"/>
        <w:rPr>
          <w:rFonts w:cs="Arial"/>
        </w:rPr>
      </w:pPr>
      <w:r>
        <w:rPr>
          <w:rFonts w:cs="Arial"/>
        </w:rPr>
        <w:t>Sampling in a given water supply network will generally be evenly spread throughout the calendar year. Private scheme caravan parks shall be tested in June or early July and August. Other seasonal premises will be tested when open, normally March to September. Schools shall be tested outside of school holidays. Note some schemes (</w:t>
      </w:r>
      <w:proofErr w:type="spellStart"/>
      <w:r>
        <w:rPr>
          <w:rFonts w:cs="Arial"/>
        </w:rPr>
        <w:t>eg</w:t>
      </w:r>
      <w:proofErr w:type="spellEnd"/>
      <w:r>
        <w:rPr>
          <w:rFonts w:cs="Arial"/>
        </w:rPr>
        <w:t xml:space="preserve"> public houses) may not be open all day and the tenderer shall contact the customer directly in advance to gain entry. </w:t>
      </w:r>
    </w:p>
    <w:p w14:paraId="60610ED7" w14:textId="77777777" w:rsidR="00C44DF4" w:rsidRDefault="00000000" w:rsidP="00611040">
      <w:pPr>
        <w:ind w:left="709"/>
        <w:jc w:val="both"/>
        <w:rPr>
          <w:rFonts w:cs="Arial"/>
        </w:rPr>
      </w:pPr>
      <w:r>
        <w:rPr>
          <w:rFonts w:cs="Arial"/>
        </w:rPr>
        <w:t xml:space="preserve">Samples shall be taken at the kitchen tap or where water used for drinking or for cooking is drawn off. Outside taps are not to be sampled. Taps shall be disinfected prior to sampling and samples taken in accordance with current best practice. </w:t>
      </w:r>
    </w:p>
    <w:p w14:paraId="0683362F" w14:textId="77777777" w:rsidR="00C44DF4" w:rsidRDefault="00000000" w:rsidP="00611040">
      <w:pPr>
        <w:ind w:left="709"/>
        <w:jc w:val="both"/>
        <w:rPr>
          <w:rFonts w:cs="Arial"/>
        </w:rPr>
      </w:pPr>
      <w:r>
        <w:rPr>
          <w:rFonts w:cs="Arial"/>
        </w:rPr>
        <w:t xml:space="preserve"> </w:t>
      </w:r>
    </w:p>
    <w:p w14:paraId="72C26803" w14:textId="77777777" w:rsidR="00C44DF4" w:rsidRDefault="00000000" w:rsidP="00611040">
      <w:pPr>
        <w:ind w:left="709"/>
        <w:jc w:val="both"/>
        <w:rPr>
          <w:rFonts w:cs="Arial"/>
        </w:rPr>
      </w:pPr>
      <w:r>
        <w:rPr>
          <w:rFonts w:cs="Arial"/>
        </w:rPr>
        <w:t>The 33 pesticides to be tested are listed in Schedule 4 (attached separately). Note that 33 pesticides are to be analysed with accredited lab with Limit of Detection (LOD) less than &lt;0.1 micrograms</w:t>
      </w:r>
    </w:p>
    <w:p w14:paraId="271D2B1C" w14:textId="77777777" w:rsidR="00C44DF4" w:rsidRDefault="00C44DF4" w:rsidP="00611040">
      <w:pPr>
        <w:ind w:left="709"/>
        <w:jc w:val="both"/>
        <w:rPr>
          <w:rFonts w:cs="Arial"/>
        </w:rPr>
      </w:pPr>
    </w:p>
    <w:p w14:paraId="250B99EE" w14:textId="700AA2DC" w:rsidR="00C44DF4" w:rsidRDefault="00000000" w:rsidP="00611040">
      <w:pPr>
        <w:ind w:left="709"/>
        <w:jc w:val="both"/>
        <w:rPr>
          <w:rFonts w:cs="Arial"/>
        </w:rPr>
      </w:pPr>
      <w:proofErr w:type="gramStart"/>
      <w:r>
        <w:rPr>
          <w:rFonts w:cs="Arial"/>
        </w:rPr>
        <w:t>A number of</w:t>
      </w:r>
      <w:proofErr w:type="gramEnd"/>
      <w:r>
        <w:rPr>
          <w:rFonts w:cs="Arial"/>
        </w:rPr>
        <w:t xml:space="preserve"> schemes have UV disinfection or no</w:t>
      </w:r>
      <w:r w:rsidR="00F2528C">
        <w:rPr>
          <w:rFonts w:cs="Arial"/>
        </w:rPr>
        <w:t xml:space="preserve"> chemical</w:t>
      </w:r>
      <w:r>
        <w:rPr>
          <w:rFonts w:cs="Arial"/>
        </w:rPr>
        <w:t xml:space="preserve"> disinfection installed. Free and total chlorine testing will not be required at these schemes. A list of these schemes will be given to the winning tenderer. Free and total chlorine testing should be conducted at any location with a chlorination treatment unit. </w:t>
      </w:r>
    </w:p>
    <w:p w14:paraId="491D013F" w14:textId="77777777" w:rsidR="00C44DF4" w:rsidRDefault="00000000" w:rsidP="00611040">
      <w:pPr>
        <w:ind w:left="709"/>
        <w:jc w:val="both"/>
        <w:rPr>
          <w:rFonts w:cs="Arial"/>
        </w:rPr>
      </w:pPr>
      <w:r>
        <w:rPr>
          <w:rFonts w:cs="Arial"/>
        </w:rPr>
        <w:lastRenderedPageBreak/>
        <w:t>If access is not available to a particular premises, the sampler shall make one further attempt that month to contact the premises. If unsuccessful the Council is to be notified promptly and sampling will be rescheduled.</w:t>
      </w:r>
    </w:p>
    <w:p w14:paraId="78C5BA28" w14:textId="77777777" w:rsidR="00C44DF4" w:rsidRDefault="00000000" w:rsidP="00611040">
      <w:pPr>
        <w:ind w:left="709"/>
        <w:jc w:val="both"/>
        <w:rPr>
          <w:rFonts w:cs="Arial"/>
        </w:rPr>
      </w:pPr>
      <w:r>
        <w:rPr>
          <w:rFonts w:cs="Arial"/>
        </w:rPr>
        <w:t xml:space="preserve"> While GPS coordinates will be given for each supply, they are not all 100% accurate and it is the tenderer’s responsibility to contact customers to obtain accurate directions and arrange suitable time for access. Most of these schemes are in rural areas. </w:t>
      </w:r>
      <w:proofErr w:type="spellStart"/>
      <w:r>
        <w:rPr>
          <w:rFonts w:cs="Arial"/>
        </w:rPr>
        <w:t>Eircodes</w:t>
      </w:r>
      <w:proofErr w:type="spellEnd"/>
      <w:r>
        <w:rPr>
          <w:rFonts w:cs="Arial"/>
        </w:rPr>
        <w:t xml:space="preserve"> where available to the Council will also be made available to the Contractor.</w:t>
      </w:r>
    </w:p>
    <w:p w14:paraId="54837C6D" w14:textId="77777777" w:rsidR="00C44DF4" w:rsidRDefault="00000000" w:rsidP="00611040">
      <w:pPr>
        <w:ind w:left="709"/>
        <w:jc w:val="both"/>
        <w:rPr>
          <w:rFonts w:cs="Arial"/>
        </w:rPr>
      </w:pPr>
      <w:r>
        <w:rPr>
          <w:rFonts w:cs="Arial"/>
        </w:rPr>
        <w:t xml:space="preserve">The Contractor shall show how they will optimise the sampling routes </w:t>
      </w:r>
      <w:proofErr w:type="gramStart"/>
      <w:r>
        <w:rPr>
          <w:rFonts w:cs="Arial"/>
        </w:rPr>
        <w:t>in order to</w:t>
      </w:r>
      <w:proofErr w:type="gramEnd"/>
      <w:r>
        <w:rPr>
          <w:rFonts w:cs="Arial"/>
        </w:rPr>
        <w:t xml:space="preserve"> minimise distance travelled. Consideration should be given to using an electric vehicle for sampling during this contract.</w:t>
      </w:r>
    </w:p>
    <w:p w14:paraId="53495104" w14:textId="77777777" w:rsidR="00C44DF4" w:rsidRDefault="00000000" w:rsidP="00611040">
      <w:pPr>
        <w:ind w:left="709"/>
        <w:jc w:val="both"/>
        <w:rPr>
          <w:rFonts w:cs="Arial"/>
        </w:rPr>
      </w:pPr>
      <w:r>
        <w:rPr>
          <w:rFonts w:cs="Arial"/>
        </w:rPr>
        <w:t xml:space="preserve">Resampling of exceedances shall be carried out within 5 days sometimes. There will be a lot of resampling that shall be required to be carried out within 24 hours of notification. The tenderer shall demonstrate in his tender how this can be achieved. </w:t>
      </w:r>
    </w:p>
    <w:p w14:paraId="3EB5E41D" w14:textId="77777777" w:rsidR="00C44DF4" w:rsidRDefault="00C44DF4" w:rsidP="00611040">
      <w:pPr>
        <w:ind w:left="709"/>
        <w:jc w:val="both"/>
        <w:rPr>
          <w:rFonts w:cs="Arial"/>
        </w:rPr>
      </w:pPr>
    </w:p>
    <w:p w14:paraId="62FD0852" w14:textId="77777777" w:rsidR="00C44DF4" w:rsidRDefault="00000000" w:rsidP="00611040">
      <w:pPr>
        <w:numPr>
          <w:ilvl w:val="0"/>
          <w:numId w:val="3"/>
        </w:numPr>
        <w:spacing w:before="0" w:after="0" w:line="276" w:lineRule="auto"/>
        <w:ind w:left="709"/>
        <w:jc w:val="both"/>
        <w:rPr>
          <w:rFonts w:cs="Arial"/>
          <w:b/>
          <w:u w:val="single"/>
        </w:rPr>
      </w:pPr>
      <w:r>
        <w:rPr>
          <w:rFonts w:cs="Arial"/>
          <w:b/>
          <w:u w:val="single"/>
        </w:rPr>
        <w:t>Analysis of samples</w:t>
      </w:r>
    </w:p>
    <w:p w14:paraId="20351F30" w14:textId="77777777" w:rsidR="00C44DF4" w:rsidRDefault="00C44DF4" w:rsidP="00611040">
      <w:pPr>
        <w:ind w:left="709"/>
        <w:jc w:val="both"/>
        <w:rPr>
          <w:rFonts w:cs="Arial"/>
          <w:b/>
          <w:u w:val="single"/>
        </w:rPr>
      </w:pPr>
    </w:p>
    <w:p w14:paraId="30FA2F68" w14:textId="77777777" w:rsidR="00C44DF4" w:rsidRDefault="00000000" w:rsidP="00611040">
      <w:pPr>
        <w:ind w:left="851"/>
        <w:jc w:val="both"/>
        <w:rPr>
          <w:rFonts w:cs="Arial"/>
        </w:rPr>
      </w:pPr>
      <w:r>
        <w:rPr>
          <w:rFonts w:cs="Arial"/>
        </w:rPr>
        <w:t xml:space="preserve">The laboratory appointed (and/or </w:t>
      </w:r>
      <w:proofErr w:type="gramStart"/>
      <w:r>
        <w:rPr>
          <w:rFonts w:cs="Arial"/>
        </w:rPr>
        <w:t>sub contracted</w:t>
      </w:r>
      <w:proofErr w:type="gramEnd"/>
      <w:r>
        <w:rPr>
          <w:rFonts w:cs="Arial"/>
        </w:rPr>
        <w:t xml:space="preserve"> laboratory) must be accredited to INAB (or equivalent) for all relevant parameters as listed above in Section 2d.</w:t>
      </w:r>
    </w:p>
    <w:p w14:paraId="08F980C0" w14:textId="07FAC3C6" w:rsidR="00C44DF4" w:rsidRDefault="00000000" w:rsidP="00611040">
      <w:pPr>
        <w:ind w:left="851"/>
        <w:jc w:val="both"/>
        <w:rPr>
          <w:rFonts w:cs="Arial"/>
        </w:rPr>
      </w:pPr>
      <w:r>
        <w:rPr>
          <w:rFonts w:cs="Arial"/>
        </w:rPr>
        <w:t xml:space="preserve">The analysis of parameters shall comply with the Second Schedule in </w:t>
      </w:r>
      <w:r w:rsidR="00F2528C" w:rsidRPr="00F2528C">
        <w:rPr>
          <w:rFonts w:cs="Arial"/>
        </w:rPr>
        <w:t>S.I. No. 99/2023 - European Union (Drinking Water) Regulations 2023</w:t>
      </w:r>
      <w:r>
        <w:rPr>
          <w:rFonts w:cs="Arial"/>
        </w:rPr>
        <w:t xml:space="preserve">. Note that one third of the 15% of marks available for accreditation shall be awarded if the primary laboratory (NOT subcontract lab) is accredited for coliforms and </w:t>
      </w:r>
      <w:proofErr w:type="gramStart"/>
      <w:r>
        <w:rPr>
          <w:rFonts w:cs="Arial"/>
        </w:rPr>
        <w:t>E.coli</w:t>
      </w:r>
      <w:proofErr w:type="gramEnd"/>
      <w:r>
        <w:rPr>
          <w:rFonts w:cs="Arial"/>
        </w:rPr>
        <w:t xml:space="preserve"> for 2026 and beyond. </w:t>
      </w:r>
    </w:p>
    <w:p w14:paraId="66CD02AA" w14:textId="03994147" w:rsidR="00C44DF4" w:rsidRDefault="00000000" w:rsidP="00611040">
      <w:pPr>
        <w:ind w:left="851"/>
        <w:jc w:val="both"/>
        <w:rPr>
          <w:rFonts w:cs="Arial"/>
        </w:rPr>
      </w:pPr>
      <w:r>
        <w:rPr>
          <w:rFonts w:cs="Arial"/>
        </w:rPr>
        <w:t xml:space="preserve">Coliforms and </w:t>
      </w:r>
      <w:proofErr w:type="gramStart"/>
      <w:r>
        <w:rPr>
          <w:rFonts w:cs="Arial"/>
        </w:rPr>
        <w:t>E.coli</w:t>
      </w:r>
      <w:proofErr w:type="gramEnd"/>
      <w:r>
        <w:rPr>
          <w:rFonts w:cs="Arial"/>
        </w:rPr>
        <w:t xml:space="preserve"> shall be measured using the Colilert system, MPN/100ml. This is to ensure that exceedances are notified as quickly as possible to the Council.</w:t>
      </w:r>
    </w:p>
    <w:p w14:paraId="61EC2772" w14:textId="77777777" w:rsidR="00C44DF4" w:rsidRDefault="00000000" w:rsidP="00611040">
      <w:pPr>
        <w:ind w:left="851"/>
        <w:jc w:val="both"/>
        <w:rPr>
          <w:rFonts w:cs="Arial"/>
        </w:rPr>
      </w:pPr>
      <w:r>
        <w:rPr>
          <w:rFonts w:cs="Arial"/>
        </w:rPr>
        <w:t>Turbidity shall be measured in NTU to a Limit of Detection of 0.02.</w:t>
      </w:r>
    </w:p>
    <w:p w14:paraId="3BB22BA3" w14:textId="77777777" w:rsidR="00C44DF4" w:rsidRDefault="00000000" w:rsidP="00611040">
      <w:pPr>
        <w:ind w:left="851"/>
        <w:jc w:val="both"/>
        <w:rPr>
          <w:rFonts w:cs="Arial"/>
        </w:rPr>
      </w:pPr>
      <w:r>
        <w:rPr>
          <w:rFonts w:cs="Arial"/>
        </w:rPr>
        <w:t>Colour (Apparent) shall be measured in mg/l Pt Co.</w:t>
      </w:r>
    </w:p>
    <w:p w14:paraId="7D5C1D8A" w14:textId="77777777" w:rsidR="00C44DF4" w:rsidRDefault="00000000" w:rsidP="00611040">
      <w:pPr>
        <w:ind w:left="709"/>
        <w:jc w:val="both"/>
        <w:rPr>
          <w:rFonts w:cs="Arial"/>
        </w:rPr>
      </w:pPr>
      <w:r>
        <w:rPr>
          <w:rFonts w:cs="Arial"/>
        </w:rPr>
        <w:t>The tenderer must adhere to National, European, or internationally recognised procedure (e.g., I.S. EN, ISO, CEN, BS or equivalent); or an in-house documented procedure based on the above references; a procedure as detailed in the current edition of “Standard Methods for the Examination of Water and Wastewater” (prepared and published jointly by A.P.H.A., A.W.W.A. &amp; W.E.F.), American Public Health Association, 1015 Fifteenth Street, N.W., Washington DC 20005, USA; or an alternative method as may be agreed by Wexford County Council.</w:t>
      </w:r>
    </w:p>
    <w:p w14:paraId="51E635E9" w14:textId="77777777" w:rsidR="00C44DF4" w:rsidRDefault="00C44DF4" w:rsidP="00611040">
      <w:pPr>
        <w:ind w:left="709"/>
        <w:jc w:val="both"/>
        <w:rPr>
          <w:rFonts w:cs="Arial"/>
        </w:rPr>
      </w:pPr>
    </w:p>
    <w:p w14:paraId="07AF1260" w14:textId="13E3138C" w:rsidR="00C44DF4" w:rsidRDefault="00000000" w:rsidP="00611040">
      <w:pPr>
        <w:ind w:left="709"/>
        <w:jc w:val="both"/>
        <w:rPr>
          <w:rFonts w:cs="Arial"/>
        </w:rPr>
      </w:pPr>
      <w:r>
        <w:rPr>
          <w:rFonts w:cs="Arial"/>
        </w:rPr>
        <w:t>All sampling and analysis for all relevant parameters and any reference measurement methods used to calibrate automated measurement system shall be carried out in accordance with CEN standards or ISO, national or international standards that will ensure the provision of data of an equivalent scientific quality shall apply.</w:t>
      </w:r>
    </w:p>
    <w:p w14:paraId="52FD6066" w14:textId="676F7A40" w:rsidR="00C44DF4" w:rsidRPr="00F97A52" w:rsidRDefault="00000000" w:rsidP="00611040">
      <w:pPr>
        <w:ind w:left="709"/>
        <w:jc w:val="both"/>
        <w:rPr>
          <w:rFonts w:cs="Arial"/>
        </w:rPr>
      </w:pPr>
      <w:proofErr w:type="gramStart"/>
      <w:r>
        <w:rPr>
          <w:rFonts w:cs="Arial"/>
        </w:rPr>
        <w:lastRenderedPageBreak/>
        <w:t>Any and all</w:t>
      </w:r>
      <w:proofErr w:type="gramEnd"/>
      <w:r>
        <w:rPr>
          <w:rFonts w:cs="Arial"/>
        </w:rPr>
        <w:t xml:space="preserve"> machinery, equipment and materials used must be fit for purpose and used, operated, and maintained in accordance with best practice and governing legislation. The tenderer must have timely access to all required machinery, equipment, labour, and materials required.</w:t>
      </w:r>
    </w:p>
    <w:p w14:paraId="5D680CB5" w14:textId="77777777" w:rsidR="00C44DF4" w:rsidRDefault="00C44DF4" w:rsidP="00611040">
      <w:pPr>
        <w:jc w:val="both"/>
        <w:rPr>
          <w:rFonts w:cs="Arial"/>
          <w:b/>
          <w:u w:val="single"/>
        </w:rPr>
      </w:pPr>
    </w:p>
    <w:p w14:paraId="7BBC6BEB" w14:textId="77777777" w:rsidR="00C44DF4" w:rsidRDefault="00000000" w:rsidP="00611040">
      <w:pPr>
        <w:numPr>
          <w:ilvl w:val="0"/>
          <w:numId w:val="3"/>
        </w:numPr>
        <w:spacing w:before="0" w:after="0" w:line="276" w:lineRule="auto"/>
        <w:ind w:left="709"/>
        <w:jc w:val="both"/>
        <w:rPr>
          <w:rFonts w:cs="Arial"/>
          <w:b/>
          <w:u w:val="single"/>
        </w:rPr>
      </w:pPr>
      <w:r>
        <w:rPr>
          <w:rFonts w:cs="Arial"/>
          <w:b/>
          <w:u w:val="single"/>
        </w:rPr>
        <w:t>Reporting of results</w:t>
      </w:r>
    </w:p>
    <w:p w14:paraId="3A443CA3" w14:textId="476A48F4" w:rsidR="00C44DF4" w:rsidRDefault="00000000" w:rsidP="00611040">
      <w:pPr>
        <w:ind w:left="709"/>
        <w:jc w:val="both"/>
        <w:rPr>
          <w:rFonts w:cs="Arial"/>
        </w:rPr>
      </w:pPr>
      <w:r>
        <w:rPr>
          <w:rFonts w:cs="Arial"/>
        </w:rPr>
        <w:t xml:space="preserve">Routine Check sampling certificate results shall be emailed to Wexford County Council in electronic format (pdf) within 8 working days of sampling. Audit certificates shall be sent as soon as available or within 4 weeks whichever is sooner. </w:t>
      </w:r>
    </w:p>
    <w:p w14:paraId="66D703FE" w14:textId="0A78754D" w:rsidR="00C44DF4" w:rsidRDefault="00000000" w:rsidP="00611040">
      <w:pPr>
        <w:ind w:left="709"/>
        <w:jc w:val="both"/>
        <w:rPr>
          <w:rFonts w:cs="Arial"/>
        </w:rPr>
      </w:pPr>
      <w:r>
        <w:rPr>
          <w:rFonts w:cs="Arial"/>
        </w:rPr>
        <w:t xml:space="preserve">In the case of exceedance/s of any of the listed parameters in table 1, notice of the exceedance/s shall be reported to WCC by email on the day the results become available. Coliform levels greater than 10 and all </w:t>
      </w:r>
      <w:proofErr w:type="gramStart"/>
      <w:r>
        <w:rPr>
          <w:rFonts w:cs="Arial"/>
        </w:rPr>
        <w:t>E.coli</w:t>
      </w:r>
      <w:proofErr w:type="gramEnd"/>
      <w:r>
        <w:rPr>
          <w:rFonts w:cs="Arial"/>
        </w:rPr>
        <w:t xml:space="preserve"> </w:t>
      </w:r>
      <w:r w:rsidR="00F2528C">
        <w:rPr>
          <w:rFonts w:cs="Arial"/>
        </w:rPr>
        <w:t xml:space="preserve">and enterococci </w:t>
      </w:r>
      <w:r>
        <w:rPr>
          <w:rFonts w:cs="Arial"/>
        </w:rPr>
        <w:t xml:space="preserve">exceedances shall also be reported to the Council within 1 hour by phone with a follow up email. </w:t>
      </w:r>
    </w:p>
    <w:p w14:paraId="24E2921F" w14:textId="537D9F38" w:rsidR="00C44DF4" w:rsidRDefault="00000000" w:rsidP="00611040">
      <w:pPr>
        <w:ind w:left="709"/>
        <w:jc w:val="both"/>
        <w:rPr>
          <w:rFonts w:cs="Arial"/>
        </w:rPr>
      </w:pPr>
      <w:r>
        <w:rPr>
          <w:rFonts w:cs="Arial"/>
        </w:rPr>
        <w:t>Total or Free chlorine levels above 2.0 mg/l or below 0.08 mg/l shall be treated as exceedances and notified by email to the Council as such.</w:t>
      </w:r>
    </w:p>
    <w:p w14:paraId="230C65F6" w14:textId="77777777" w:rsidR="00C44DF4" w:rsidRDefault="00000000" w:rsidP="00611040">
      <w:pPr>
        <w:ind w:left="709"/>
        <w:jc w:val="both"/>
        <w:rPr>
          <w:rFonts w:cs="Arial"/>
        </w:rPr>
      </w:pPr>
      <w:r>
        <w:rPr>
          <w:rFonts w:cs="Arial"/>
        </w:rPr>
        <w:t xml:space="preserve">Monthly summaries of Audits, checks, checks plus clostridium shall be emailed to the Council in an Excel spreadsheet format compatible with LABWORKS template within seven working days of the end of a month. The template is detailed in the appendices. This is to facilitate uploading of results onto LABWORKS and the EPA Database. A typical monthly result spreadsheet is shown on Schedule 5 (attached separately). It is important that details of category, entity, stations etc. are given exactly as per lists in schedules 1-3 in sample reports and in monthly spreadsheets so that the results can be uploaded to </w:t>
      </w:r>
      <w:proofErr w:type="spellStart"/>
      <w:r>
        <w:rPr>
          <w:rFonts w:cs="Arial"/>
        </w:rPr>
        <w:t>Labworks</w:t>
      </w:r>
      <w:proofErr w:type="spellEnd"/>
      <w:r>
        <w:rPr>
          <w:rFonts w:cs="Arial"/>
        </w:rPr>
        <w:t xml:space="preserve"> and EDEN without corrections being required by Council staff. Actual location of sample to be given in column headed “Sample notes”. E.g. caravan no.2 kitchen sink.</w:t>
      </w:r>
    </w:p>
    <w:p w14:paraId="2DB058C6" w14:textId="77777777" w:rsidR="00C44DF4" w:rsidRDefault="00C44DF4" w:rsidP="00611040">
      <w:pPr>
        <w:ind w:left="709"/>
        <w:jc w:val="both"/>
        <w:rPr>
          <w:rFonts w:cs="Arial"/>
        </w:rPr>
      </w:pPr>
    </w:p>
    <w:p w14:paraId="614A6591" w14:textId="77777777" w:rsidR="00C44DF4" w:rsidRDefault="00000000" w:rsidP="00611040">
      <w:pPr>
        <w:ind w:left="709"/>
        <w:jc w:val="both"/>
        <w:rPr>
          <w:rFonts w:cs="Arial"/>
        </w:rPr>
      </w:pPr>
      <w:r>
        <w:rPr>
          <w:rFonts w:cs="Arial"/>
        </w:rPr>
        <w:t>Details of contact staff shall be provided to the successful tenderer.</w:t>
      </w:r>
    </w:p>
    <w:p w14:paraId="7E274A02" w14:textId="77777777" w:rsidR="00C44DF4" w:rsidRDefault="00C44DF4" w:rsidP="00611040">
      <w:pPr>
        <w:ind w:left="709"/>
        <w:jc w:val="both"/>
        <w:rPr>
          <w:rFonts w:cs="Arial"/>
        </w:rPr>
      </w:pPr>
    </w:p>
    <w:p w14:paraId="444F22DE" w14:textId="77777777" w:rsidR="00C44DF4" w:rsidRDefault="00000000" w:rsidP="00611040">
      <w:pPr>
        <w:numPr>
          <w:ilvl w:val="0"/>
          <w:numId w:val="3"/>
        </w:numPr>
        <w:spacing w:before="0" w:after="0" w:line="276" w:lineRule="auto"/>
        <w:ind w:left="709"/>
        <w:jc w:val="both"/>
        <w:rPr>
          <w:rFonts w:cs="Arial"/>
          <w:b/>
          <w:u w:val="single"/>
        </w:rPr>
      </w:pPr>
      <w:r>
        <w:rPr>
          <w:rFonts w:cs="Arial"/>
          <w:b/>
          <w:u w:val="single"/>
        </w:rPr>
        <w:t>Information to be supplied with tender</w:t>
      </w:r>
    </w:p>
    <w:p w14:paraId="2AF9671B" w14:textId="77777777" w:rsidR="00C44DF4" w:rsidRDefault="00C44DF4" w:rsidP="00611040">
      <w:pPr>
        <w:ind w:left="1260"/>
        <w:jc w:val="both"/>
        <w:rPr>
          <w:rFonts w:cs="Arial"/>
          <w:b/>
          <w:u w:val="single"/>
        </w:rPr>
      </w:pPr>
    </w:p>
    <w:p w14:paraId="3CF54316" w14:textId="77777777" w:rsidR="00C44DF4" w:rsidRDefault="00000000" w:rsidP="00611040">
      <w:pPr>
        <w:ind w:left="709"/>
        <w:jc w:val="both"/>
        <w:rPr>
          <w:rFonts w:cs="Arial"/>
        </w:rPr>
      </w:pPr>
      <w:r>
        <w:rPr>
          <w:rFonts w:cs="Arial"/>
        </w:rPr>
        <w:t xml:space="preserve">The tenderer shall supply the following documentation with his tender. </w:t>
      </w:r>
    </w:p>
    <w:p w14:paraId="281B7963" w14:textId="77777777" w:rsidR="00C44DF4" w:rsidRDefault="00C44DF4" w:rsidP="00611040">
      <w:pPr>
        <w:ind w:left="709"/>
        <w:jc w:val="both"/>
        <w:rPr>
          <w:rFonts w:cs="Arial"/>
        </w:rPr>
      </w:pPr>
    </w:p>
    <w:p w14:paraId="410C8F00" w14:textId="4AC3248D" w:rsidR="00C44DF4" w:rsidRDefault="00000000" w:rsidP="00611040">
      <w:pPr>
        <w:pStyle w:val="ListParagraph"/>
        <w:numPr>
          <w:ilvl w:val="0"/>
          <w:numId w:val="4"/>
        </w:numPr>
        <w:spacing w:before="0" w:after="0" w:line="276" w:lineRule="auto"/>
        <w:jc w:val="both"/>
        <w:rPr>
          <w:rFonts w:cs="Arial"/>
        </w:rPr>
      </w:pPr>
      <w:r>
        <w:rPr>
          <w:rFonts w:cs="Arial"/>
        </w:rPr>
        <w:t xml:space="preserve">Detailed sampling and analysis </w:t>
      </w:r>
      <w:r w:rsidR="00F2528C">
        <w:rPr>
          <w:rFonts w:cs="Arial"/>
        </w:rPr>
        <w:t>procedures.</w:t>
      </w:r>
    </w:p>
    <w:p w14:paraId="19D6CA25" w14:textId="77777777" w:rsidR="00C44DF4" w:rsidRDefault="00000000" w:rsidP="00611040">
      <w:pPr>
        <w:pStyle w:val="ListParagraph"/>
        <w:numPr>
          <w:ilvl w:val="0"/>
          <w:numId w:val="4"/>
        </w:numPr>
        <w:spacing w:before="0" w:after="0" w:line="276" w:lineRule="auto"/>
        <w:jc w:val="both"/>
        <w:rPr>
          <w:rFonts w:cs="Arial"/>
        </w:rPr>
      </w:pPr>
      <w:r>
        <w:rPr>
          <w:rFonts w:cs="Arial"/>
        </w:rPr>
        <w:t>Fully completed Pricing Schedule</w:t>
      </w:r>
    </w:p>
    <w:p w14:paraId="6015AA6E" w14:textId="61D2109D" w:rsidR="00C44DF4" w:rsidRDefault="00000000" w:rsidP="00611040">
      <w:pPr>
        <w:ind w:left="709" w:hanging="360"/>
        <w:jc w:val="both"/>
        <w:rPr>
          <w:rFonts w:cs="Arial"/>
        </w:rPr>
      </w:pPr>
      <w:r>
        <w:rPr>
          <w:rFonts w:cs="Arial"/>
        </w:rPr>
        <w:t>b)</w:t>
      </w:r>
      <w:r>
        <w:rPr>
          <w:rFonts w:cs="Arial"/>
        </w:rPr>
        <w:tab/>
        <w:t>Proof of accreditation to INAB</w:t>
      </w:r>
      <w:r w:rsidR="00F2528C">
        <w:rPr>
          <w:rFonts w:cs="Arial"/>
        </w:rPr>
        <w:t>, ISO/IEC 17025</w:t>
      </w:r>
      <w:r>
        <w:rPr>
          <w:rFonts w:cs="Arial"/>
        </w:rPr>
        <w:t xml:space="preserve"> (or equivalent) for all relevant parameters including any parameters analysed by a subcontract laboratory.</w:t>
      </w:r>
    </w:p>
    <w:p w14:paraId="19E0EC81" w14:textId="636623EA" w:rsidR="00C44DF4" w:rsidRPr="00F2528C" w:rsidRDefault="00000000" w:rsidP="00611040">
      <w:pPr>
        <w:numPr>
          <w:ilvl w:val="0"/>
          <w:numId w:val="5"/>
        </w:numPr>
        <w:spacing w:before="0" w:after="0" w:line="276" w:lineRule="auto"/>
        <w:ind w:left="709"/>
        <w:jc w:val="both"/>
        <w:rPr>
          <w:rFonts w:cs="Arial"/>
        </w:rPr>
      </w:pPr>
      <w:r w:rsidRPr="00F2528C">
        <w:rPr>
          <w:rFonts w:cs="Arial"/>
        </w:rPr>
        <w:t xml:space="preserve">Proof that level of analysis of parameters complies with the </w:t>
      </w:r>
      <w:r w:rsidR="00F2528C" w:rsidRPr="00F2528C">
        <w:rPr>
          <w:rFonts w:cs="Arial"/>
        </w:rPr>
        <w:t>S.I. No. 99/2023 - European Union (Drinking Water) Regulations 2023</w:t>
      </w:r>
      <w:r w:rsidR="00F2528C">
        <w:rPr>
          <w:rFonts w:cs="Arial"/>
        </w:rPr>
        <w:t xml:space="preserve">. </w:t>
      </w:r>
      <w:r w:rsidRPr="00F2528C">
        <w:rPr>
          <w:rFonts w:cs="Arial"/>
        </w:rPr>
        <w:t xml:space="preserve">Details of previous similar </w:t>
      </w:r>
      <w:r w:rsidRPr="00F2528C">
        <w:rPr>
          <w:rFonts w:cs="Arial"/>
        </w:rPr>
        <w:lastRenderedPageBreak/>
        <w:t>contracts held in the last 3 years with contact names and telephone numbers for references.</w:t>
      </w:r>
    </w:p>
    <w:p w14:paraId="64DDC1F0" w14:textId="77777777" w:rsidR="00C44DF4" w:rsidRDefault="00000000" w:rsidP="00611040">
      <w:pPr>
        <w:numPr>
          <w:ilvl w:val="0"/>
          <w:numId w:val="5"/>
        </w:numPr>
        <w:spacing w:before="0" w:after="0" w:line="276" w:lineRule="auto"/>
        <w:ind w:left="709"/>
        <w:jc w:val="both"/>
        <w:rPr>
          <w:rFonts w:cs="Arial"/>
        </w:rPr>
      </w:pPr>
      <w:r>
        <w:rPr>
          <w:rFonts w:cs="Arial"/>
        </w:rPr>
        <w:t>Up to date Safety Statement.</w:t>
      </w:r>
    </w:p>
    <w:p w14:paraId="2A66136B" w14:textId="77777777" w:rsidR="00C44DF4" w:rsidRDefault="00000000" w:rsidP="00611040">
      <w:pPr>
        <w:numPr>
          <w:ilvl w:val="0"/>
          <w:numId w:val="5"/>
        </w:numPr>
        <w:spacing w:before="0" w:after="0" w:line="276" w:lineRule="auto"/>
        <w:ind w:left="709"/>
        <w:jc w:val="both"/>
        <w:rPr>
          <w:rFonts w:cs="Arial"/>
        </w:rPr>
      </w:pPr>
      <w:r>
        <w:rPr>
          <w:rFonts w:cs="Arial"/>
        </w:rPr>
        <w:t>Names and details of personnel involved in contract. Relevant experience and qualifications required.</w:t>
      </w:r>
    </w:p>
    <w:p w14:paraId="2903B3AF" w14:textId="77777777" w:rsidR="00C44DF4" w:rsidRDefault="00000000" w:rsidP="00611040">
      <w:pPr>
        <w:numPr>
          <w:ilvl w:val="0"/>
          <w:numId w:val="5"/>
        </w:numPr>
        <w:spacing w:before="0" w:after="0" w:line="276" w:lineRule="auto"/>
        <w:ind w:left="709"/>
        <w:jc w:val="both"/>
        <w:rPr>
          <w:rFonts w:cs="Arial"/>
        </w:rPr>
      </w:pPr>
      <w:r>
        <w:rPr>
          <w:rFonts w:cs="Arial"/>
        </w:rPr>
        <w:t>Annual Turnover for each of last two years with proof of same.</w:t>
      </w:r>
    </w:p>
    <w:p w14:paraId="0E1102D0" w14:textId="77777777" w:rsidR="00C44DF4" w:rsidRDefault="00C44DF4" w:rsidP="00611040">
      <w:pPr>
        <w:ind w:left="709"/>
        <w:jc w:val="both"/>
        <w:rPr>
          <w:rFonts w:cs="Arial"/>
        </w:rPr>
      </w:pPr>
    </w:p>
    <w:p w14:paraId="3DA5AEEB" w14:textId="77777777" w:rsidR="00C44DF4" w:rsidRDefault="00C44DF4" w:rsidP="00611040">
      <w:pPr>
        <w:ind w:left="709"/>
        <w:jc w:val="both"/>
        <w:rPr>
          <w:rFonts w:cs="Arial"/>
        </w:rPr>
      </w:pPr>
    </w:p>
    <w:p w14:paraId="1834408B" w14:textId="77777777" w:rsidR="00C44DF4" w:rsidRDefault="00C44DF4" w:rsidP="00611040">
      <w:pPr>
        <w:ind w:left="709"/>
        <w:jc w:val="both"/>
        <w:rPr>
          <w:rFonts w:cs="Arial"/>
          <w:color w:val="FF0000"/>
        </w:rPr>
      </w:pPr>
    </w:p>
    <w:p w14:paraId="279CDFCD" w14:textId="77777777" w:rsidR="00C44DF4" w:rsidRDefault="00C44DF4" w:rsidP="00611040">
      <w:pPr>
        <w:ind w:left="709"/>
        <w:jc w:val="both"/>
        <w:rPr>
          <w:rFonts w:cs="Arial"/>
          <w:color w:val="FF0000"/>
        </w:rPr>
      </w:pPr>
    </w:p>
    <w:p w14:paraId="48428401" w14:textId="77777777" w:rsidR="00C44DF4" w:rsidRDefault="00C44DF4" w:rsidP="00611040">
      <w:pPr>
        <w:ind w:left="709"/>
        <w:jc w:val="both"/>
        <w:rPr>
          <w:rFonts w:cs="Arial"/>
          <w:color w:val="FF0000"/>
        </w:rPr>
      </w:pPr>
    </w:p>
    <w:p w14:paraId="3ACEED9C" w14:textId="77777777" w:rsidR="00C44DF4" w:rsidRDefault="00C44DF4" w:rsidP="00611040">
      <w:pPr>
        <w:ind w:left="709"/>
        <w:jc w:val="both"/>
        <w:rPr>
          <w:rFonts w:cs="Arial"/>
          <w:color w:val="FF0000"/>
        </w:rPr>
      </w:pPr>
    </w:p>
    <w:p w14:paraId="2F7E4BF2" w14:textId="77777777" w:rsidR="00C44DF4" w:rsidRDefault="00C44DF4" w:rsidP="00611040">
      <w:pPr>
        <w:ind w:left="709"/>
        <w:jc w:val="both"/>
        <w:rPr>
          <w:rFonts w:cs="Arial"/>
          <w:color w:val="FF0000"/>
        </w:rPr>
      </w:pPr>
    </w:p>
    <w:p w14:paraId="1B344753" w14:textId="77777777" w:rsidR="00C44DF4" w:rsidRDefault="00C44DF4" w:rsidP="00611040">
      <w:pPr>
        <w:ind w:left="709"/>
        <w:jc w:val="both"/>
        <w:rPr>
          <w:rFonts w:cs="Arial"/>
          <w:color w:val="FF0000"/>
        </w:rPr>
      </w:pPr>
    </w:p>
    <w:p w14:paraId="3FA10EC6" w14:textId="77777777" w:rsidR="00C44DF4" w:rsidRDefault="00C44DF4" w:rsidP="00611040">
      <w:pPr>
        <w:ind w:left="709"/>
        <w:jc w:val="both"/>
        <w:rPr>
          <w:rFonts w:cs="Arial"/>
          <w:color w:val="FF0000"/>
        </w:rPr>
      </w:pPr>
    </w:p>
    <w:p w14:paraId="20C090AE" w14:textId="77777777" w:rsidR="00C44DF4" w:rsidRDefault="00C44DF4" w:rsidP="00611040">
      <w:pPr>
        <w:ind w:left="709"/>
        <w:jc w:val="both"/>
        <w:rPr>
          <w:rFonts w:cs="Arial"/>
          <w:color w:val="FF0000"/>
        </w:rPr>
      </w:pPr>
    </w:p>
    <w:p w14:paraId="167B3962" w14:textId="77777777" w:rsidR="00C44DF4" w:rsidRDefault="00C44DF4" w:rsidP="00611040">
      <w:pPr>
        <w:ind w:left="709"/>
        <w:jc w:val="both"/>
        <w:rPr>
          <w:rFonts w:cs="Arial"/>
          <w:color w:val="FF0000"/>
        </w:rPr>
      </w:pPr>
    </w:p>
    <w:p w14:paraId="105513BC" w14:textId="77777777" w:rsidR="00C44DF4" w:rsidRDefault="00C44DF4" w:rsidP="00611040">
      <w:pPr>
        <w:ind w:left="709"/>
        <w:jc w:val="both"/>
        <w:rPr>
          <w:rFonts w:cs="Arial"/>
          <w:color w:val="FF0000"/>
        </w:rPr>
      </w:pPr>
    </w:p>
    <w:p w14:paraId="2AE2D071" w14:textId="77777777" w:rsidR="00C44DF4" w:rsidRDefault="00C44DF4" w:rsidP="00611040">
      <w:pPr>
        <w:ind w:left="709"/>
        <w:jc w:val="both"/>
        <w:rPr>
          <w:rFonts w:cs="Arial"/>
          <w:color w:val="FF0000"/>
        </w:rPr>
      </w:pPr>
    </w:p>
    <w:p w14:paraId="5A633AEB" w14:textId="77777777" w:rsidR="00C44DF4" w:rsidRDefault="00C44DF4" w:rsidP="00611040">
      <w:pPr>
        <w:ind w:left="709"/>
        <w:jc w:val="both"/>
        <w:rPr>
          <w:rFonts w:cs="Arial"/>
          <w:color w:val="FF0000"/>
        </w:rPr>
      </w:pPr>
    </w:p>
    <w:p w14:paraId="66554C15" w14:textId="77777777" w:rsidR="007D6E2D" w:rsidRDefault="007D6E2D" w:rsidP="00611040">
      <w:pPr>
        <w:ind w:left="709"/>
        <w:jc w:val="both"/>
        <w:rPr>
          <w:rFonts w:cs="Arial"/>
          <w:color w:val="FF0000"/>
        </w:rPr>
      </w:pPr>
    </w:p>
    <w:p w14:paraId="5A9A25B0" w14:textId="77777777" w:rsidR="007D6E2D" w:rsidRDefault="007D6E2D" w:rsidP="00611040">
      <w:pPr>
        <w:ind w:left="709"/>
        <w:jc w:val="both"/>
        <w:rPr>
          <w:rFonts w:cs="Arial"/>
          <w:color w:val="FF0000"/>
        </w:rPr>
      </w:pPr>
    </w:p>
    <w:p w14:paraId="29E681A9" w14:textId="77777777" w:rsidR="00F2528C" w:rsidRDefault="00F2528C" w:rsidP="00611040">
      <w:pPr>
        <w:ind w:left="709"/>
        <w:jc w:val="both"/>
        <w:rPr>
          <w:rFonts w:cs="Arial"/>
          <w:color w:val="FF0000"/>
        </w:rPr>
      </w:pPr>
    </w:p>
    <w:p w14:paraId="59FE3A83" w14:textId="77777777" w:rsidR="007D6E2D" w:rsidRDefault="007D6E2D" w:rsidP="00611040">
      <w:pPr>
        <w:ind w:left="709"/>
        <w:jc w:val="both"/>
        <w:rPr>
          <w:rFonts w:cs="Arial"/>
          <w:color w:val="FF0000"/>
        </w:rPr>
      </w:pPr>
    </w:p>
    <w:p w14:paraId="7F6C8352" w14:textId="77777777" w:rsidR="00611040" w:rsidRDefault="00611040" w:rsidP="00611040">
      <w:pPr>
        <w:ind w:left="709"/>
        <w:jc w:val="both"/>
        <w:rPr>
          <w:rFonts w:cs="Arial"/>
          <w:color w:val="FF0000"/>
        </w:rPr>
      </w:pPr>
    </w:p>
    <w:p w14:paraId="1B4494E3" w14:textId="77777777" w:rsidR="00611040" w:rsidRDefault="00611040" w:rsidP="00611040">
      <w:pPr>
        <w:ind w:left="709"/>
        <w:jc w:val="both"/>
        <w:rPr>
          <w:rFonts w:cs="Arial"/>
          <w:color w:val="FF0000"/>
        </w:rPr>
      </w:pPr>
    </w:p>
    <w:p w14:paraId="2959ABE2" w14:textId="77777777" w:rsidR="00611040" w:rsidRDefault="00611040" w:rsidP="00611040">
      <w:pPr>
        <w:ind w:left="709"/>
        <w:jc w:val="both"/>
        <w:rPr>
          <w:rFonts w:cs="Arial"/>
          <w:color w:val="FF0000"/>
        </w:rPr>
      </w:pPr>
    </w:p>
    <w:p w14:paraId="2A1C2BAC" w14:textId="77777777" w:rsidR="00611040" w:rsidRDefault="00611040" w:rsidP="00611040">
      <w:pPr>
        <w:ind w:left="709"/>
        <w:jc w:val="both"/>
        <w:rPr>
          <w:rFonts w:cs="Arial"/>
          <w:color w:val="FF0000"/>
        </w:rPr>
      </w:pPr>
    </w:p>
    <w:p w14:paraId="2309387C" w14:textId="77777777" w:rsidR="00611040" w:rsidRDefault="00611040" w:rsidP="00611040">
      <w:pPr>
        <w:ind w:left="709"/>
        <w:jc w:val="both"/>
        <w:rPr>
          <w:rFonts w:cs="Arial"/>
          <w:color w:val="FF0000"/>
        </w:rPr>
      </w:pPr>
    </w:p>
    <w:p w14:paraId="613BC08A" w14:textId="77777777" w:rsidR="00611040" w:rsidRDefault="00611040" w:rsidP="00611040">
      <w:pPr>
        <w:ind w:left="709"/>
        <w:jc w:val="both"/>
        <w:rPr>
          <w:rFonts w:cs="Arial"/>
          <w:color w:val="FF0000"/>
        </w:rPr>
      </w:pPr>
    </w:p>
    <w:p w14:paraId="2BD8283B" w14:textId="77777777" w:rsidR="00C44DF4" w:rsidRDefault="00C44DF4" w:rsidP="00611040">
      <w:pPr>
        <w:ind w:left="709"/>
        <w:jc w:val="both"/>
        <w:rPr>
          <w:rFonts w:cs="Arial"/>
          <w:color w:val="FF0000"/>
        </w:rPr>
      </w:pPr>
    </w:p>
    <w:p w14:paraId="1E8C37A0" w14:textId="77777777" w:rsidR="00C44DF4" w:rsidRDefault="00000000" w:rsidP="00611040">
      <w:pPr>
        <w:jc w:val="both"/>
      </w:pPr>
      <w:r>
        <w:rPr>
          <w:rFonts w:cs="Arial"/>
          <w:b/>
          <w:sz w:val="28"/>
          <w:szCs w:val="28"/>
          <w:u w:val="single"/>
          <w:lang w:val="en-IE"/>
        </w:rPr>
        <w:lastRenderedPageBreak/>
        <w:t xml:space="preserve">TABLE AND SCHEDULES </w:t>
      </w:r>
    </w:p>
    <w:p w14:paraId="043EC6F3" w14:textId="77777777" w:rsidR="00C44DF4" w:rsidRDefault="00C44DF4" w:rsidP="00611040">
      <w:pPr>
        <w:jc w:val="both"/>
        <w:rPr>
          <w:rFonts w:cs="Arial"/>
          <w:sz w:val="28"/>
          <w:szCs w:val="28"/>
          <w:lang w:val="en-IE"/>
        </w:rPr>
      </w:pPr>
    </w:p>
    <w:p w14:paraId="7763193D" w14:textId="77777777" w:rsidR="00C44DF4" w:rsidRDefault="00C44DF4" w:rsidP="00611040">
      <w:pPr>
        <w:jc w:val="both"/>
        <w:rPr>
          <w:rFonts w:cs="Arial"/>
          <w:sz w:val="28"/>
          <w:szCs w:val="28"/>
          <w:lang w:val="en-IE"/>
        </w:rPr>
      </w:pPr>
    </w:p>
    <w:p w14:paraId="2FCC2582" w14:textId="77777777" w:rsidR="00C44DF4" w:rsidRDefault="00000000" w:rsidP="00611040">
      <w:pPr>
        <w:ind w:left="2874" w:hanging="2448"/>
        <w:jc w:val="both"/>
        <w:rPr>
          <w:rFonts w:cs="Arial"/>
          <w:b/>
          <w:lang w:val="en-IE"/>
        </w:rPr>
      </w:pPr>
      <w:r>
        <w:rPr>
          <w:rFonts w:cs="Arial"/>
          <w:b/>
          <w:lang w:val="en-IE"/>
        </w:rPr>
        <w:t>TABLE 1</w:t>
      </w:r>
      <w:r>
        <w:rPr>
          <w:rFonts w:cs="Arial"/>
          <w:b/>
          <w:lang w:val="en-IE"/>
        </w:rPr>
        <w:tab/>
        <w:t>Parameters for audit, check and micro check samples</w:t>
      </w:r>
    </w:p>
    <w:p w14:paraId="45C7B8E1" w14:textId="77777777" w:rsidR="00C44DF4" w:rsidRDefault="00000000" w:rsidP="00611040">
      <w:pPr>
        <w:ind w:left="2874" w:hanging="2448"/>
        <w:jc w:val="both"/>
        <w:rPr>
          <w:rFonts w:cs="Arial"/>
          <w:b/>
          <w:lang w:val="en-IE"/>
        </w:rPr>
      </w:pPr>
      <w:r>
        <w:rPr>
          <w:rFonts w:cs="Arial"/>
          <w:b/>
          <w:lang w:val="en-IE"/>
        </w:rPr>
        <w:t>Check A (Group A) samples should include the following and be reported with the following units:</w:t>
      </w:r>
    </w:p>
    <w:p w14:paraId="1A0C629D" w14:textId="77777777" w:rsidR="00C44DF4" w:rsidRDefault="00000000" w:rsidP="00611040">
      <w:pPr>
        <w:jc w:val="both"/>
      </w:pPr>
      <w:r>
        <w:rPr>
          <w:noProof/>
        </w:rPr>
        <w:drawing>
          <wp:inline distT="0" distB="0" distL="0" distR="0" wp14:anchorId="53619847" wp14:editId="621BCF08">
            <wp:extent cx="3819521" cy="4619621"/>
            <wp:effectExtent l="0" t="0" r="0" b="0"/>
            <wp:docPr id="1264888163"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3819521" cy="4619621"/>
                    </a:xfrm>
                    <a:prstGeom prst="rect">
                      <a:avLst/>
                    </a:prstGeom>
                    <a:noFill/>
                    <a:ln>
                      <a:noFill/>
                      <a:prstDash/>
                    </a:ln>
                  </pic:spPr>
                </pic:pic>
              </a:graphicData>
            </a:graphic>
          </wp:inline>
        </w:drawing>
      </w:r>
    </w:p>
    <w:p w14:paraId="682FD076" w14:textId="77777777" w:rsidR="00C44DF4" w:rsidRDefault="00000000" w:rsidP="00611040">
      <w:pPr>
        <w:jc w:val="both"/>
      </w:pPr>
      <w:r>
        <w:rPr>
          <w:noProof/>
        </w:rPr>
        <w:drawing>
          <wp:inline distT="0" distB="0" distL="0" distR="0" wp14:anchorId="5FE24DAE" wp14:editId="07CAFC02">
            <wp:extent cx="2590796" cy="190542"/>
            <wp:effectExtent l="0" t="0" r="4" b="0"/>
            <wp:docPr id="282781429"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t="74513" b="22961"/>
                    <a:stretch>
                      <a:fillRect/>
                    </a:stretch>
                  </pic:blipFill>
                  <pic:spPr>
                    <a:xfrm>
                      <a:off x="0" y="0"/>
                      <a:ext cx="2590796" cy="190542"/>
                    </a:xfrm>
                    <a:prstGeom prst="rect">
                      <a:avLst/>
                    </a:prstGeom>
                    <a:noFill/>
                    <a:ln>
                      <a:noFill/>
                      <a:prstDash/>
                    </a:ln>
                  </pic:spPr>
                </pic:pic>
              </a:graphicData>
            </a:graphic>
          </wp:inline>
        </w:drawing>
      </w:r>
    </w:p>
    <w:p w14:paraId="0D5D3E40" w14:textId="77777777" w:rsidR="00C44DF4" w:rsidRDefault="00000000" w:rsidP="00611040">
      <w:pPr>
        <w:jc w:val="both"/>
      </w:pPr>
      <w:r>
        <w:rPr>
          <w:noProof/>
        </w:rPr>
        <w:drawing>
          <wp:inline distT="0" distB="0" distL="0" distR="0" wp14:anchorId="11328C81" wp14:editId="5B44F80B">
            <wp:extent cx="2628899" cy="362129"/>
            <wp:effectExtent l="0" t="0" r="1" b="0"/>
            <wp:docPr id="688751649"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rcRect t="68873" b="21876"/>
                    <a:stretch>
                      <a:fillRect/>
                    </a:stretch>
                  </pic:blipFill>
                  <pic:spPr>
                    <a:xfrm>
                      <a:off x="0" y="0"/>
                      <a:ext cx="2628899" cy="362129"/>
                    </a:xfrm>
                    <a:prstGeom prst="rect">
                      <a:avLst/>
                    </a:prstGeom>
                    <a:noFill/>
                    <a:ln>
                      <a:noFill/>
                      <a:prstDash/>
                    </a:ln>
                  </pic:spPr>
                </pic:pic>
              </a:graphicData>
            </a:graphic>
          </wp:inline>
        </w:drawing>
      </w:r>
    </w:p>
    <w:p w14:paraId="4D29C8A2" w14:textId="77777777" w:rsidR="00C44DF4" w:rsidRDefault="00000000" w:rsidP="00611040">
      <w:pPr>
        <w:jc w:val="both"/>
      </w:pPr>
      <w:r>
        <w:rPr>
          <w:noProof/>
        </w:rPr>
        <w:drawing>
          <wp:inline distT="0" distB="0" distL="0" distR="0" wp14:anchorId="7FECAD43" wp14:editId="35BFD96E">
            <wp:extent cx="3529492" cy="424811"/>
            <wp:effectExtent l="0" t="0" r="0" b="0"/>
            <wp:docPr id="1388654672"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rcRect r="38420"/>
                    <a:stretch>
                      <a:fillRect/>
                    </a:stretch>
                  </pic:blipFill>
                  <pic:spPr>
                    <a:xfrm>
                      <a:off x="0" y="0"/>
                      <a:ext cx="3529492" cy="424811"/>
                    </a:xfrm>
                    <a:prstGeom prst="rect">
                      <a:avLst/>
                    </a:prstGeom>
                    <a:noFill/>
                    <a:ln>
                      <a:noFill/>
                      <a:prstDash/>
                    </a:ln>
                  </pic:spPr>
                </pic:pic>
              </a:graphicData>
            </a:graphic>
          </wp:inline>
        </w:drawing>
      </w:r>
    </w:p>
    <w:p w14:paraId="5702CF35" w14:textId="77777777" w:rsidR="00C44DF4" w:rsidRDefault="00C44DF4" w:rsidP="00611040">
      <w:pPr>
        <w:jc w:val="both"/>
      </w:pPr>
    </w:p>
    <w:p w14:paraId="21D414B9" w14:textId="77777777" w:rsidR="00C44DF4" w:rsidRDefault="00C44DF4" w:rsidP="00611040">
      <w:pPr>
        <w:jc w:val="both"/>
      </w:pPr>
    </w:p>
    <w:p w14:paraId="602BC955" w14:textId="77777777" w:rsidR="00C44DF4" w:rsidRDefault="00C44DF4" w:rsidP="00611040">
      <w:pPr>
        <w:jc w:val="both"/>
      </w:pPr>
    </w:p>
    <w:p w14:paraId="0AD7B0B4" w14:textId="77777777" w:rsidR="00C44DF4" w:rsidRDefault="00C44DF4" w:rsidP="00611040">
      <w:pPr>
        <w:jc w:val="both"/>
      </w:pPr>
    </w:p>
    <w:p w14:paraId="0FA28F4F" w14:textId="77777777" w:rsidR="00C44DF4" w:rsidRDefault="00C44DF4" w:rsidP="00611040">
      <w:pPr>
        <w:jc w:val="both"/>
      </w:pPr>
    </w:p>
    <w:p w14:paraId="6A6079BA" w14:textId="77777777" w:rsidR="00C44DF4" w:rsidRDefault="00000000" w:rsidP="00611040">
      <w:pPr>
        <w:ind w:left="2874" w:hanging="2448"/>
        <w:jc w:val="both"/>
        <w:rPr>
          <w:rFonts w:cs="Arial"/>
          <w:b/>
          <w:lang w:val="en-IE"/>
        </w:rPr>
      </w:pPr>
      <w:r>
        <w:rPr>
          <w:rFonts w:cs="Arial"/>
          <w:b/>
          <w:lang w:val="en-IE"/>
        </w:rPr>
        <w:t xml:space="preserve">Check B (Group B) audit samples should include Check A samples along with </w:t>
      </w:r>
      <w:proofErr w:type="gramStart"/>
      <w:r>
        <w:rPr>
          <w:rFonts w:cs="Arial"/>
          <w:b/>
          <w:lang w:val="en-IE"/>
        </w:rPr>
        <w:t>the  following</w:t>
      </w:r>
      <w:proofErr w:type="gramEnd"/>
      <w:r>
        <w:rPr>
          <w:rFonts w:cs="Arial"/>
          <w:b/>
          <w:lang w:val="en-IE"/>
        </w:rPr>
        <w:t xml:space="preserve"> additions and be reported with the following units:</w:t>
      </w:r>
    </w:p>
    <w:p w14:paraId="122ABEF9" w14:textId="77777777" w:rsidR="00C44DF4" w:rsidRDefault="00000000" w:rsidP="00611040">
      <w:pPr>
        <w:ind w:left="2874" w:hanging="2448"/>
        <w:jc w:val="both"/>
      </w:pPr>
      <w:r>
        <w:rPr>
          <w:noProof/>
        </w:rPr>
        <w:drawing>
          <wp:inline distT="0" distB="0" distL="0" distR="0" wp14:anchorId="1C050EA1" wp14:editId="090EFCC6">
            <wp:extent cx="2590796" cy="7543800"/>
            <wp:effectExtent l="0" t="0" r="4" b="0"/>
            <wp:docPr id="1322346390"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2590796" cy="7543800"/>
                    </a:xfrm>
                    <a:prstGeom prst="rect">
                      <a:avLst/>
                    </a:prstGeom>
                    <a:noFill/>
                    <a:ln>
                      <a:noFill/>
                      <a:prstDash/>
                    </a:ln>
                  </pic:spPr>
                </pic:pic>
              </a:graphicData>
            </a:graphic>
          </wp:inline>
        </w:drawing>
      </w:r>
    </w:p>
    <w:p w14:paraId="0CED073D" w14:textId="77777777" w:rsidR="00C44DF4" w:rsidRDefault="00000000" w:rsidP="00611040">
      <w:pPr>
        <w:ind w:left="2874" w:hanging="2448"/>
        <w:jc w:val="both"/>
      </w:pPr>
      <w:r>
        <w:rPr>
          <w:noProof/>
        </w:rPr>
        <w:lastRenderedPageBreak/>
        <w:drawing>
          <wp:inline distT="0" distB="0" distL="0" distR="0" wp14:anchorId="1F03F9F2" wp14:editId="76986D5C">
            <wp:extent cx="2628899" cy="3914775"/>
            <wp:effectExtent l="0" t="0" r="1" b="9525"/>
            <wp:docPr id="144698466"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628899" cy="3914775"/>
                    </a:xfrm>
                    <a:prstGeom prst="rect">
                      <a:avLst/>
                    </a:prstGeom>
                    <a:noFill/>
                    <a:ln>
                      <a:noFill/>
                      <a:prstDash/>
                    </a:ln>
                  </pic:spPr>
                </pic:pic>
              </a:graphicData>
            </a:graphic>
          </wp:inline>
        </w:drawing>
      </w:r>
    </w:p>
    <w:p w14:paraId="7C3B6C26" w14:textId="77777777" w:rsidR="00C44DF4" w:rsidRDefault="00C44DF4" w:rsidP="00611040">
      <w:pPr>
        <w:ind w:left="426"/>
        <w:jc w:val="both"/>
        <w:rPr>
          <w:rFonts w:cs="Arial"/>
          <w:b/>
          <w:lang w:val="en-IE"/>
        </w:rPr>
      </w:pPr>
    </w:p>
    <w:p w14:paraId="0EB0E877" w14:textId="77777777" w:rsidR="00C44DF4" w:rsidRDefault="00C44DF4" w:rsidP="00611040">
      <w:pPr>
        <w:ind w:left="426"/>
        <w:jc w:val="both"/>
        <w:rPr>
          <w:rFonts w:cs="Arial"/>
          <w:b/>
          <w:lang w:val="en-IE"/>
        </w:rPr>
      </w:pPr>
    </w:p>
    <w:p w14:paraId="33D2DE0B" w14:textId="77777777" w:rsidR="00C44DF4" w:rsidRDefault="00C44DF4" w:rsidP="00611040">
      <w:pPr>
        <w:ind w:left="426"/>
        <w:jc w:val="both"/>
        <w:rPr>
          <w:rFonts w:cs="Arial"/>
          <w:b/>
          <w:lang w:val="en-IE"/>
        </w:rPr>
      </w:pPr>
    </w:p>
    <w:p w14:paraId="3B9D2A68" w14:textId="77777777" w:rsidR="00C44DF4" w:rsidRDefault="00C44DF4" w:rsidP="00611040">
      <w:pPr>
        <w:ind w:left="426"/>
        <w:jc w:val="both"/>
        <w:rPr>
          <w:rFonts w:cs="Arial"/>
          <w:b/>
          <w:lang w:val="en-IE"/>
        </w:rPr>
      </w:pPr>
    </w:p>
    <w:p w14:paraId="1770AC87" w14:textId="77777777" w:rsidR="00C44DF4" w:rsidRDefault="00C44DF4" w:rsidP="00611040">
      <w:pPr>
        <w:spacing w:after="0"/>
        <w:jc w:val="both"/>
        <w:rPr>
          <w:rFonts w:cs="Arial"/>
        </w:rPr>
      </w:pPr>
    </w:p>
    <w:p w14:paraId="58977B3A" w14:textId="77777777" w:rsidR="00C44DF4" w:rsidRDefault="00C44DF4" w:rsidP="00611040">
      <w:pPr>
        <w:spacing w:before="0" w:after="120" w:line="276" w:lineRule="auto"/>
        <w:jc w:val="both"/>
      </w:pPr>
    </w:p>
    <w:p w14:paraId="465F4526" w14:textId="43E533DD" w:rsidR="00C44DF4" w:rsidRDefault="00000000" w:rsidP="00611040">
      <w:pPr>
        <w:spacing w:before="0" w:after="120" w:line="276" w:lineRule="auto"/>
        <w:jc w:val="both"/>
      </w:pPr>
      <w:r>
        <w:rPr>
          <w:rFonts w:cs="Arial"/>
        </w:rPr>
        <w:t xml:space="preserve"> All testing parameters should be priced individually and delivery/ other associated costs to be included. Resampling costs should also be included </w:t>
      </w:r>
      <w:r w:rsidR="005335E9">
        <w:rPr>
          <w:rFonts w:cs="Arial"/>
        </w:rPr>
        <w:t>separately</w:t>
      </w:r>
      <w:r>
        <w:rPr>
          <w:rFonts w:cs="Arial"/>
        </w:rPr>
        <w:t>. Total price of parameters ex vat shall be the tender price. Failure to complete the pricing schedule will result in the tender being rejected.</w:t>
      </w:r>
    </w:p>
    <w:p w14:paraId="4FEC9DEB" w14:textId="77777777" w:rsidR="00C44DF4" w:rsidRDefault="00000000" w:rsidP="00611040">
      <w:pPr>
        <w:jc w:val="both"/>
        <w:rPr>
          <w:rFonts w:cs="Arial"/>
        </w:rPr>
      </w:pPr>
      <w:r>
        <w:rPr>
          <w:rFonts w:cs="Arial"/>
        </w:rPr>
        <w:t xml:space="preserve">Note that number of samples to be priced is approximate number of expected samples for a year and could be less than or greater than indicated. </w:t>
      </w:r>
    </w:p>
    <w:p w14:paraId="4373156A" w14:textId="77777777" w:rsidR="00C44DF4" w:rsidRDefault="00000000" w:rsidP="00611040">
      <w:pPr>
        <w:jc w:val="both"/>
        <w:rPr>
          <w:rFonts w:cs="Arial"/>
        </w:rPr>
      </w:pPr>
      <w:r>
        <w:rPr>
          <w:rFonts w:cs="Arial"/>
        </w:rPr>
        <w:t xml:space="preserve">The price tendered shall be all inclusive for supply of </w:t>
      </w:r>
      <w:proofErr w:type="gramStart"/>
      <w:r>
        <w:rPr>
          <w:rFonts w:cs="Arial"/>
        </w:rPr>
        <w:t>any and all</w:t>
      </w:r>
      <w:proofErr w:type="gramEnd"/>
      <w:r>
        <w:rPr>
          <w:rFonts w:cs="Arial"/>
        </w:rPr>
        <w:t xml:space="preserve"> transport, equipment, labour, materials, reporting results to Council etc as required.</w:t>
      </w:r>
    </w:p>
    <w:p w14:paraId="31096391" w14:textId="77777777" w:rsidR="00C44DF4" w:rsidRDefault="00C44DF4" w:rsidP="00611040">
      <w:pPr>
        <w:jc w:val="both"/>
        <w:rPr>
          <w:rFonts w:cs="Arial"/>
        </w:rPr>
      </w:pPr>
    </w:p>
    <w:p w14:paraId="503D8645" w14:textId="77777777" w:rsidR="00C44DF4" w:rsidRDefault="00C44DF4" w:rsidP="00611040">
      <w:pPr>
        <w:jc w:val="both"/>
        <w:rPr>
          <w:rFonts w:cs="Arial"/>
        </w:rPr>
      </w:pPr>
    </w:p>
    <w:p w14:paraId="6354E1AD" w14:textId="77777777" w:rsidR="00C44DF4" w:rsidRDefault="00C44DF4" w:rsidP="00611040">
      <w:pPr>
        <w:jc w:val="both"/>
      </w:pPr>
    </w:p>
    <w:p w14:paraId="4A62972B" w14:textId="77777777" w:rsidR="00C44DF4" w:rsidRDefault="00C44DF4" w:rsidP="00611040">
      <w:pPr>
        <w:jc w:val="both"/>
      </w:pPr>
    </w:p>
    <w:p w14:paraId="434E26FC" w14:textId="77777777" w:rsidR="00C44DF4" w:rsidRDefault="00C44DF4" w:rsidP="00611040">
      <w:pPr>
        <w:jc w:val="both"/>
      </w:pPr>
    </w:p>
    <w:p w14:paraId="283A6DA3" w14:textId="77777777" w:rsidR="00C44DF4" w:rsidRDefault="00C44DF4" w:rsidP="00611040">
      <w:pPr>
        <w:jc w:val="both"/>
      </w:pPr>
    </w:p>
    <w:p w14:paraId="648CC2C1" w14:textId="77777777" w:rsidR="00C44DF4" w:rsidRDefault="00C44DF4" w:rsidP="00611040">
      <w:pPr>
        <w:jc w:val="both"/>
      </w:pPr>
    </w:p>
    <w:p w14:paraId="07185D54" w14:textId="77777777" w:rsidR="00C44DF4" w:rsidRDefault="00000000" w:rsidP="00611040">
      <w:pPr>
        <w:jc w:val="both"/>
      </w:pPr>
      <w:r>
        <w:t>Group water schemes example schedule:</w:t>
      </w:r>
      <w:r>
        <w:rPr>
          <w:noProof/>
        </w:rPr>
        <w:drawing>
          <wp:inline distT="0" distB="0" distL="0" distR="0" wp14:anchorId="50A86851" wp14:editId="67B6DC0A">
            <wp:extent cx="5724528" cy="2219321"/>
            <wp:effectExtent l="0" t="0" r="9522" b="0"/>
            <wp:docPr id="1337465749"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rcRect/>
                    <a:stretch>
                      <a:fillRect/>
                    </a:stretch>
                  </pic:blipFill>
                  <pic:spPr>
                    <a:xfrm>
                      <a:off x="0" y="0"/>
                      <a:ext cx="5724528" cy="2219321"/>
                    </a:xfrm>
                    <a:prstGeom prst="rect">
                      <a:avLst/>
                    </a:prstGeom>
                    <a:noFill/>
                    <a:ln>
                      <a:noFill/>
                      <a:prstDash/>
                    </a:ln>
                  </pic:spPr>
                </pic:pic>
              </a:graphicData>
            </a:graphic>
          </wp:inline>
        </w:drawing>
      </w:r>
    </w:p>
    <w:p w14:paraId="4CC1129E" w14:textId="77777777" w:rsidR="00C44DF4" w:rsidRDefault="00C44DF4" w:rsidP="00611040">
      <w:pPr>
        <w:jc w:val="both"/>
      </w:pPr>
    </w:p>
    <w:p w14:paraId="25F40C98" w14:textId="77777777" w:rsidR="00C44DF4" w:rsidRDefault="00000000" w:rsidP="00611040">
      <w:pPr>
        <w:jc w:val="both"/>
      </w:pPr>
      <w:r>
        <w:t>Private supplies example schedule:</w:t>
      </w:r>
    </w:p>
    <w:p w14:paraId="1E93EADA" w14:textId="77777777" w:rsidR="00C44DF4" w:rsidRDefault="00000000" w:rsidP="00611040">
      <w:pPr>
        <w:jc w:val="both"/>
      </w:pPr>
      <w:r>
        <w:rPr>
          <w:noProof/>
        </w:rPr>
        <w:drawing>
          <wp:inline distT="0" distB="0" distL="0" distR="0" wp14:anchorId="6D246C0F" wp14:editId="29526207">
            <wp:extent cx="5734046" cy="4000500"/>
            <wp:effectExtent l="0" t="0" r="4" b="0"/>
            <wp:docPr id="213813910" name="Picture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rcRect/>
                    <a:stretch>
                      <a:fillRect/>
                    </a:stretch>
                  </pic:blipFill>
                  <pic:spPr>
                    <a:xfrm>
                      <a:off x="0" y="0"/>
                      <a:ext cx="5734046" cy="4000500"/>
                    </a:xfrm>
                    <a:prstGeom prst="rect">
                      <a:avLst/>
                    </a:prstGeom>
                    <a:noFill/>
                    <a:ln>
                      <a:noFill/>
                      <a:prstDash/>
                    </a:ln>
                  </pic:spPr>
                </pic:pic>
              </a:graphicData>
            </a:graphic>
          </wp:inline>
        </w:drawing>
      </w:r>
    </w:p>
    <w:p w14:paraId="2BA5798C" w14:textId="77777777" w:rsidR="00C44DF4" w:rsidRDefault="00C44DF4" w:rsidP="00611040">
      <w:pPr>
        <w:jc w:val="both"/>
      </w:pPr>
    </w:p>
    <w:p w14:paraId="0634CD39" w14:textId="77777777" w:rsidR="00C44DF4" w:rsidRDefault="00C44DF4" w:rsidP="00611040">
      <w:pPr>
        <w:jc w:val="both"/>
      </w:pPr>
    </w:p>
    <w:p w14:paraId="32B1C39F" w14:textId="77777777" w:rsidR="00C44DF4" w:rsidRDefault="00000000" w:rsidP="00611040">
      <w:pPr>
        <w:jc w:val="both"/>
      </w:pPr>
      <w:r>
        <w:rPr>
          <w:noProof/>
        </w:rPr>
        <w:lastRenderedPageBreak/>
        <w:drawing>
          <wp:inline distT="0" distB="0" distL="0" distR="0" wp14:anchorId="588773A5" wp14:editId="5F6C5742">
            <wp:extent cx="5724528" cy="4010028"/>
            <wp:effectExtent l="0" t="0" r="9522" b="9522"/>
            <wp:docPr id="886488444" name="Picture 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rcRect/>
                    <a:stretch>
                      <a:fillRect/>
                    </a:stretch>
                  </pic:blipFill>
                  <pic:spPr>
                    <a:xfrm>
                      <a:off x="0" y="0"/>
                      <a:ext cx="5724528" cy="4010028"/>
                    </a:xfrm>
                    <a:prstGeom prst="rect">
                      <a:avLst/>
                    </a:prstGeom>
                    <a:noFill/>
                    <a:ln>
                      <a:noFill/>
                      <a:prstDash/>
                    </a:ln>
                  </pic:spPr>
                </pic:pic>
              </a:graphicData>
            </a:graphic>
          </wp:inline>
        </w:drawing>
      </w:r>
      <w:r>
        <w:rPr>
          <w:noProof/>
        </w:rPr>
        <w:drawing>
          <wp:inline distT="0" distB="0" distL="0" distR="0" wp14:anchorId="5A5C6268" wp14:editId="25380B0C">
            <wp:extent cx="5724528" cy="219071"/>
            <wp:effectExtent l="0" t="0" r="9522" b="0"/>
            <wp:docPr id="426246178" name="Picture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rcRect/>
                    <a:stretch>
                      <a:fillRect/>
                    </a:stretch>
                  </pic:blipFill>
                  <pic:spPr>
                    <a:xfrm>
                      <a:off x="0" y="0"/>
                      <a:ext cx="5724528" cy="219071"/>
                    </a:xfrm>
                    <a:prstGeom prst="rect">
                      <a:avLst/>
                    </a:prstGeom>
                    <a:noFill/>
                    <a:ln>
                      <a:noFill/>
                      <a:prstDash/>
                    </a:ln>
                  </pic:spPr>
                </pic:pic>
              </a:graphicData>
            </a:graphic>
          </wp:inline>
        </w:drawing>
      </w:r>
    </w:p>
    <w:p w14:paraId="68AA8247" w14:textId="77777777" w:rsidR="00C44DF4" w:rsidRDefault="00C44DF4" w:rsidP="00611040">
      <w:pPr>
        <w:jc w:val="both"/>
      </w:pPr>
    </w:p>
    <w:p w14:paraId="7054BDA0" w14:textId="77777777" w:rsidR="00C44DF4" w:rsidRDefault="00000000" w:rsidP="00611040">
      <w:pPr>
        <w:jc w:val="both"/>
      </w:pPr>
      <w:r>
        <w:t>Private (ex HSE supplies)</w:t>
      </w:r>
    </w:p>
    <w:p w14:paraId="7DFB892D" w14:textId="77777777" w:rsidR="00C44DF4" w:rsidRDefault="00000000" w:rsidP="00611040">
      <w:pPr>
        <w:jc w:val="both"/>
      </w:pPr>
      <w:r>
        <w:rPr>
          <w:noProof/>
        </w:rPr>
        <w:lastRenderedPageBreak/>
        <w:drawing>
          <wp:inline distT="0" distB="0" distL="0" distR="0" wp14:anchorId="720C87F9" wp14:editId="65C959A2">
            <wp:extent cx="5724528" cy="4105271"/>
            <wp:effectExtent l="0" t="0" r="9522" b="0"/>
            <wp:docPr id="1188015719" name="Picture 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rcRect/>
                    <a:stretch>
                      <a:fillRect/>
                    </a:stretch>
                  </pic:blipFill>
                  <pic:spPr>
                    <a:xfrm>
                      <a:off x="0" y="0"/>
                      <a:ext cx="5724528" cy="4105271"/>
                    </a:xfrm>
                    <a:prstGeom prst="rect">
                      <a:avLst/>
                    </a:prstGeom>
                    <a:noFill/>
                    <a:ln>
                      <a:noFill/>
                      <a:prstDash/>
                    </a:ln>
                  </pic:spPr>
                </pic:pic>
              </a:graphicData>
            </a:graphic>
          </wp:inline>
        </w:drawing>
      </w:r>
      <w:r>
        <w:rPr>
          <w:noProof/>
        </w:rPr>
        <w:drawing>
          <wp:inline distT="0" distB="0" distL="0" distR="0" wp14:anchorId="7880978E" wp14:editId="78431E84">
            <wp:extent cx="5724528" cy="1390646"/>
            <wp:effectExtent l="0" t="0" r="9522" b="4"/>
            <wp:docPr id="1414358561" name="Picture 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rcRect/>
                    <a:stretch>
                      <a:fillRect/>
                    </a:stretch>
                  </pic:blipFill>
                  <pic:spPr>
                    <a:xfrm>
                      <a:off x="0" y="0"/>
                      <a:ext cx="5724528" cy="1390646"/>
                    </a:xfrm>
                    <a:prstGeom prst="rect">
                      <a:avLst/>
                    </a:prstGeom>
                    <a:noFill/>
                    <a:ln>
                      <a:noFill/>
                      <a:prstDash/>
                    </a:ln>
                  </pic:spPr>
                </pic:pic>
              </a:graphicData>
            </a:graphic>
          </wp:inline>
        </w:drawing>
      </w:r>
    </w:p>
    <w:p w14:paraId="35CA6C79" w14:textId="77777777" w:rsidR="00C44DF4" w:rsidRDefault="00000000" w:rsidP="00611040">
      <w:pPr>
        <w:jc w:val="both"/>
      </w:pPr>
      <w:r>
        <w:t>Small public Supplies:</w:t>
      </w:r>
    </w:p>
    <w:p w14:paraId="31B031CE" w14:textId="77777777" w:rsidR="00C44DF4" w:rsidRDefault="00000000" w:rsidP="00611040">
      <w:pPr>
        <w:jc w:val="both"/>
      </w:pPr>
      <w:r>
        <w:rPr>
          <w:noProof/>
        </w:rPr>
        <w:lastRenderedPageBreak/>
        <w:drawing>
          <wp:inline distT="0" distB="0" distL="0" distR="0" wp14:anchorId="41F69894" wp14:editId="2C482B87">
            <wp:extent cx="5724528" cy="4219571"/>
            <wp:effectExtent l="0" t="0" r="9522" b="0"/>
            <wp:docPr id="1965903349" name="Picture 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rcRect/>
                    <a:stretch>
                      <a:fillRect/>
                    </a:stretch>
                  </pic:blipFill>
                  <pic:spPr>
                    <a:xfrm>
                      <a:off x="0" y="0"/>
                      <a:ext cx="5724528" cy="4219571"/>
                    </a:xfrm>
                    <a:prstGeom prst="rect">
                      <a:avLst/>
                    </a:prstGeom>
                    <a:noFill/>
                    <a:ln>
                      <a:noFill/>
                      <a:prstDash/>
                    </a:ln>
                  </pic:spPr>
                </pic:pic>
              </a:graphicData>
            </a:graphic>
          </wp:inline>
        </w:drawing>
      </w:r>
    </w:p>
    <w:p w14:paraId="4F736920" w14:textId="77777777" w:rsidR="00C44DF4" w:rsidRDefault="00000000" w:rsidP="00611040">
      <w:pPr>
        <w:jc w:val="both"/>
      </w:pPr>
      <w:r>
        <w:rPr>
          <w:noProof/>
        </w:rPr>
        <w:drawing>
          <wp:inline distT="0" distB="0" distL="0" distR="0" wp14:anchorId="67BA91A3" wp14:editId="7B7211DF">
            <wp:extent cx="5734046" cy="1228725"/>
            <wp:effectExtent l="0" t="0" r="4" b="9525"/>
            <wp:docPr id="1630587675" name="Picture 1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rcRect/>
                    <a:stretch>
                      <a:fillRect/>
                    </a:stretch>
                  </pic:blipFill>
                  <pic:spPr>
                    <a:xfrm>
                      <a:off x="0" y="0"/>
                      <a:ext cx="5734046" cy="1228725"/>
                    </a:xfrm>
                    <a:prstGeom prst="rect">
                      <a:avLst/>
                    </a:prstGeom>
                    <a:noFill/>
                    <a:ln>
                      <a:noFill/>
                      <a:prstDash/>
                    </a:ln>
                  </pic:spPr>
                </pic:pic>
              </a:graphicData>
            </a:graphic>
          </wp:inline>
        </w:drawing>
      </w:r>
    </w:p>
    <w:p w14:paraId="1994E0CC" w14:textId="77777777" w:rsidR="00C44DF4" w:rsidRDefault="00C44DF4" w:rsidP="00611040">
      <w:pPr>
        <w:jc w:val="both"/>
      </w:pPr>
    </w:p>
    <w:p w14:paraId="7F80A25C" w14:textId="77777777" w:rsidR="00C44DF4" w:rsidRDefault="00C44DF4" w:rsidP="00611040">
      <w:pPr>
        <w:jc w:val="both"/>
      </w:pPr>
    </w:p>
    <w:p w14:paraId="04E1A2BB" w14:textId="77777777" w:rsidR="00C44DF4" w:rsidRDefault="00C44DF4" w:rsidP="00611040">
      <w:pPr>
        <w:jc w:val="both"/>
      </w:pPr>
    </w:p>
    <w:p w14:paraId="5F2C846C" w14:textId="77777777" w:rsidR="00C44DF4" w:rsidRDefault="00C44DF4" w:rsidP="00611040">
      <w:pPr>
        <w:jc w:val="both"/>
      </w:pPr>
    </w:p>
    <w:p w14:paraId="49E10EAE" w14:textId="77777777" w:rsidR="00C44DF4" w:rsidRDefault="00C44DF4" w:rsidP="00611040">
      <w:pPr>
        <w:jc w:val="both"/>
      </w:pPr>
    </w:p>
    <w:p w14:paraId="59FD152E" w14:textId="77777777" w:rsidR="00C44DF4" w:rsidRDefault="00C44DF4" w:rsidP="00611040">
      <w:pPr>
        <w:jc w:val="both"/>
      </w:pPr>
    </w:p>
    <w:p w14:paraId="5D227C19" w14:textId="77777777" w:rsidR="00C44DF4" w:rsidRDefault="00C44DF4" w:rsidP="00611040">
      <w:pPr>
        <w:jc w:val="both"/>
      </w:pPr>
    </w:p>
    <w:p w14:paraId="0EFFA4A0" w14:textId="77777777" w:rsidR="00C44DF4" w:rsidRDefault="00C44DF4" w:rsidP="00611040">
      <w:pPr>
        <w:jc w:val="both"/>
      </w:pPr>
    </w:p>
    <w:p w14:paraId="005B43ED" w14:textId="77777777" w:rsidR="00C44DF4" w:rsidRDefault="00C44DF4" w:rsidP="00611040">
      <w:pPr>
        <w:jc w:val="both"/>
      </w:pPr>
    </w:p>
    <w:p w14:paraId="4B569366" w14:textId="77777777" w:rsidR="00C44DF4" w:rsidRDefault="00C44DF4" w:rsidP="00611040">
      <w:pPr>
        <w:jc w:val="both"/>
      </w:pPr>
    </w:p>
    <w:sectPr w:rsidR="00C44DF4">
      <w:pgSz w:w="11906" w:h="16838"/>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C212FF" w14:textId="77777777" w:rsidR="00DF1815" w:rsidRDefault="00DF1815">
      <w:pPr>
        <w:spacing w:before="0" w:after="0" w:line="240" w:lineRule="auto"/>
      </w:pPr>
      <w:r>
        <w:separator/>
      </w:r>
    </w:p>
  </w:endnote>
  <w:endnote w:type="continuationSeparator" w:id="0">
    <w:p w14:paraId="1D6D55AD" w14:textId="77777777" w:rsidR="00DF1815" w:rsidRDefault="00DF181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584690" w14:textId="77777777" w:rsidR="00DF1815" w:rsidRDefault="00DF1815">
      <w:pPr>
        <w:spacing w:before="0" w:after="0" w:line="240" w:lineRule="auto"/>
      </w:pPr>
      <w:r>
        <w:rPr>
          <w:color w:val="000000"/>
        </w:rPr>
        <w:separator/>
      </w:r>
    </w:p>
  </w:footnote>
  <w:footnote w:type="continuationSeparator" w:id="0">
    <w:p w14:paraId="7CF245E4" w14:textId="77777777" w:rsidR="00DF1815" w:rsidRDefault="00DF1815">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9C50A0"/>
    <w:multiLevelType w:val="multilevel"/>
    <w:tmpl w:val="B360E29A"/>
    <w:lvl w:ilvl="0">
      <w:start w:val="1"/>
      <w:numFmt w:val="decimal"/>
      <w:lvlText w:val="%1."/>
      <w:lvlJc w:val="left"/>
      <w:pPr>
        <w:ind w:left="928" w:hanging="360"/>
      </w:pPr>
    </w:lvl>
    <w:lvl w:ilvl="1">
      <w:start w:val="1"/>
      <w:numFmt w:val="lowerLetter"/>
      <w:lvlText w:val="."/>
      <w:lvlJc w:val="left"/>
      <w:pPr>
        <w:ind w:left="1648" w:hanging="360"/>
      </w:pPr>
    </w:lvl>
    <w:lvl w:ilvl="2">
      <w:start w:val="1"/>
      <w:numFmt w:val="lowerRoman"/>
      <w:lvlText w:val="."/>
      <w:lvlJc w:val="right"/>
      <w:pPr>
        <w:ind w:left="2368" w:hanging="180"/>
      </w:pPr>
    </w:lvl>
    <w:lvl w:ilvl="3">
      <w:start w:val="1"/>
      <w:numFmt w:val="decimal"/>
      <w:lvlText w:val="."/>
      <w:lvlJc w:val="left"/>
      <w:pPr>
        <w:ind w:left="3088" w:hanging="360"/>
      </w:pPr>
    </w:lvl>
    <w:lvl w:ilvl="4">
      <w:start w:val="1"/>
      <w:numFmt w:val="lowerLetter"/>
      <w:lvlText w:val="."/>
      <w:lvlJc w:val="left"/>
      <w:pPr>
        <w:ind w:left="3808" w:hanging="360"/>
      </w:pPr>
    </w:lvl>
    <w:lvl w:ilvl="5">
      <w:start w:val="1"/>
      <w:numFmt w:val="lowerRoman"/>
      <w:lvlText w:val="."/>
      <w:lvlJc w:val="right"/>
      <w:pPr>
        <w:ind w:left="4528" w:hanging="180"/>
      </w:pPr>
    </w:lvl>
    <w:lvl w:ilvl="6">
      <w:start w:val="1"/>
      <w:numFmt w:val="decimal"/>
      <w:lvlText w:val="."/>
      <w:lvlJc w:val="left"/>
      <w:pPr>
        <w:ind w:left="5248" w:hanging="360"/>
      </w:pPr>
    </w:lvl>
    <w:lvl w:ilvl="7">
      <w:start w:val="1"/>
      <w:numFmt w:val="lowerLetter"/>
      <w:lvlText w:val="."/>
      <w:lvlJc w:val="left"/>
      <w:pPr>
        <w:ind w:left="5968" w:hanging="360"/>
      </w:pPr>
    </w:lvl>
    <w:lvl w:ilvl="8">
      <w:start w:val="1"/>
      <w:numFmt w:val="lowerRoman"/>
      <w:lvlText w:val="."/>
      <w:lvlJc w:val="right"/>
      <w:pPr>
        <w:ind w:left="6688" w:hanging="180"/>
      </w:pPr>
    </w:lvl>
  </w:abstractNum>
  <w:abstractNum w:abstractNumId="1" w15:restartNumberingAfterBreak="0">
    <w:nsid w:val="4B4A2ADC"/>
    <w:multiLevelType w:val="multilevel"/>
    <w:tmpl w:val="D1764062"/>
    <w:lvl w:ilvl="0">
      <w:start w:val="1"/>
      <w:numFmt w:val="lowerLetter"/>
      <w:lvlText w:val="%1)"/>
      <w:lvlJc w:val="left"/>
      <w:pPr>
        <w:ind w:left="1260" w:hanging="360"/>
      </w:pPr>
    </w:lvl>
    <w:lvl w:ilvl="1">
      <w:start w:val="1"/>
      <w:numFmt w:val="lowerLetter"/>
      <w:lvlText w:val="."/>
      <w:lvlJc w:val="left"/>
      <w:pPr>
        <w:ind w:left="1980" w:hanging="360"/>
      </w:pPr>
    </w:lvl>
    <w:lvl w:ilvl="2">
      <w:start w:val="1"/>
      <w:numFmt w:val="lowerRoman"/>
      <w:lvlText w:val="."/>
      <w:lvlJc w:val="right"/>
      <w:pPr>
        <w:ind w:left="2700" w:hanging="180"/>
      </w:pPr>
    </w:lvl>
    <w:lvl w:ilvl="3">
      <w:start w:val="1"/>
      <w:numFmt w:val="decimal"/>
      <w:lvlText w:val="."/>
      <w:lvlJc w:val="left"/>
      <w:pPr>
        <w:ind w:left="3420" w:hanging="360"/>
      </w:pPr>
    </w:lvl>
    <w:lvl w:ilvl="4">
      <w:start w:val="1"/>
      <w:numFmt w:val="lowerLetter"/>
      <w:lvlText w:val="."/>
      <w:lvlJc w:val="left"/>
      <w:pPr>
        <w:ind w:left="4140" w:hanging="360"/>
      </w:pPr>
    </w:lvl>
    <w:lvl w:ilvl="5">
      <w:start w:val="1"/>
      <w:numFmt w:val="lowerRoman"/>
      <w:lvlText w:val="."/>
      <w:lvlJc w:val="right"/>
      <w:pPr>
        <w:ind w:left="4860" w:hanging="180"/>
      </w:pPr>
    </w:lvl>
    <w:lvl w:ilvl="6">
      <w:start w:val="1"/>
      <w:numFmt w:val="decimal"/>
      <w:lvlText w:val="."/>
      <w:lvlJc w:val="left"/>
      <w:pPr>
        <w:ind w:left="5580" w:hanging="360"/>
      </w:pPr>
    </w:lvl>
    <w:lvl w:ilvl="7">
      <w:start w:val="1"/>
      <w:numFmt w:val="lowerLetter"/>
      <w:lvlText w:val="."/>
      <w:lvlJc w:val="left"/>
      <w:pPr>
        <w:ind w:left="6300" w:hanging="360"/>
      </w:pPr>
    </w:lvl>
    <w:lvl w:ilvl="8">
      <w:start w:val="1"/>
      <w:numFmt w:val="lowerRoman"/>
      <w:lvlText w:val="."/>
      <w:lvlJc w:val="right"/>
      <w:pPr>
        <w:ind w:left="7020" w:hanging="180"/>
      </w:pPr>
    </w:lvl>
  </w:abstractNum>
  <w:abstractNum w:abstractNumId="2" w15:restartNumberingAfterBreak="0">
    <w:nsid w:val="5FC96220"/>
    <w:multiLevelType w:val="multilevel"/>
    <w:tmpl w:val="7714D3EE"/>
    <w:lvl w:ilvl="0">
      <w:start w:val="1"/>
      <w:numFmt w:val="lowerLetter"/>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3" w15:restartNumberingAfterBreak="0">
    <w:nsid w:val="6B4C22E7"/>
    <w:multiLevelType w:val="multilevel"/>
    <w:tmpl w:val="76EE0EFA"/>
    <w:lvl w:ilvl="0">
      <w:start w:val="1"/>
      <w:numFmt w:val="lowerLetter"/>
      <w:lvlText w:val="%1)"/>
      <w:lvlJc w:val="left"/>
      <w:pPr>
        <w:ind w:left="1631" w:hanging="360"/>
      </w:pPr>
    </w:lvl>
    <w:lvl w:ilvl="1">
      <w:start w:val="1"/>
      <w:numFmt w:val="lowerLetter"/>
      <w:lvlText w:val="."/>
      <w:lvlJc w:val="left"/>
      <w:pPr>
        <w:ind w:left="2351" w:hanging="360"/>
      </w:pPr>
    </w:lvl>
    <w:lvl w:ilvl="2">
      <w:start w:val="1"/>
      <w:numFmt w:val="lowerRoman"/>
      <w:lvlText w:val="."/>
      <w:lvlJc w:val="right"/>
      <w:pPr>
        <w:ind w:left="3071" w:hanging="180"/>
      </w:pPr>
    </w:lvl>
    <w:lvl w:ilvl="3">
      <w:start w:val="1"/>
      <w:numFmt w:val="decimal"/>
      <w:lvlText w:val="."/>
      <w:lvlJc w:val="left"/>
      <w:pPr>
        <w:ind w:left="3791" w:hanging="360"/>
      </w:pPr>
    </w:lvl>
    <w:lvl w:ilvl="4">
      <w:start w:val="1"/>
      <w:numFmt w:val="lowerLetter"/>
      <w:lvlText w:val="."/>
      <w:lvlJc w:val="left"/>
      <w:pPr>
        <w:ind w:left="4511" w:hanging="360"/>
      </w:pPr>
    </w:lvl>
    <w:lvl w:ilvl="5">
      <w:start w:val="1"/>
      <w:numFmt w:val="lowerRoman"/>
      <w:lvlText w:val="."/>
      <w:lvlJc w:val="right"/>
      <w:pPr>
        <w:ind w:left="5231" w:hanging="180"/>
      </w:pPr>
    </w:lvl>
    <w:lvl w:ilvl="6">
      <w:start w:val="1"/>
      <w:numFmt w:val="decimal"/>
      <w:lvlText w:val="."/>
      <w:lvlJc w:val="left"/>
      <w:pPr>
        <w:ind w:left="5951" w:hanging="360"/>
      </w:pPr>
    </w:lvl>
    <w:lvl w:ilvl="7">
      <w:start w:val="1"/>
      <w:numFmt w:val="lowerLetter"/>
      <w:lvlText w:val="."/>
      <w:lvlJc w:val="left"/>
      <w:pPr>
        <w:ind w:left="6671" w:hanging="360"/>
      </w:pPr>
    </w:lvl>
    <w:lvl w:ilvl="8">
      <w:start w:val="1"/>
      <w:numFmt w:val="lowerRoman"/>
      <w:lvlText w:val="."/>
      <w:lvlJc w:val="right"/>
      <w:pPr>
        <w:ind w:left="7391" w:hanging="180"/>
      </w:pPr>
    </w:lvl>
  </w:abstractNum>
  <w:abstractNum w:abstractNumId="4" w15:restartNumberingAfterBreak="0">
    <w:nsid w:val="79B56DB8"/>
    <w:multiLevelType w:val="multilevel"/>
    <w:tmpl w:val="14AA27EA"/>
    <w:lvl w:ilvl="0">
      <w:start w:val="3"/>
      <w:numFmt w:val="decimal"/>
      <w:lvlText w:val="%1."/>
      <w:lvlJc w:val="left"/>
      <w:pPr>
        <w:ind w:left="1260" w:hanging="360"/>
      </w:pPr>
    </w:lvl>
    <w:lvl w:ilvl="1">
      <w:start w:val="1"/>
      <w:numFmt w:val="lowerLetter"/>
      <w:lvlText w:val="."/>
      <w:lvlJc w:val="left"/>
      <w:pPr>
        <w:ind w:left="1980" w:hanging="360"/>
      </w:pPr>
    </w:lvl>
    <w:lvl w:ilvl="2">
      <w:start w:val="1"/>
      <w:numFmt w:val="lowerRoman"/>
      <w:lvlText w:val="."/>
      <w:lvlJc w:val="right"/>
      <w:pPr>
        <w:ind w:left="2700" w:hanging="180"/>
      </w:pPr>
    </w:lvl>
    <w:lvl w:ilvl="3">
      <w:start w:val="1"/>
      <w:numFmt w:val="decimal"/>
      <w:lvlText w:val="."/>
      <w:lvlJc w:val="left"/>
      <w:pPr>
        <w:ind w:left="3420" w:hanging="360"/>
      </w:pPr>
    </w:lvl>
    <w:lvl w:ilvl="4">
      <w:start w:val="1"/>
      <w:numFmt w:val="lowerLetter"/>
      <w:lvlText w:val="."/>
      <w:lvlJc w:val="left"/>
      <w:pPr>
        <w:ind w:left="4140" w:hanging="360"/>
      </w:pPr>
    </w:lvl>
    <w:lvl w:ilvl="5">
      <w:start w:val="1"/>
      <w:numFmt w:val="lowerRoman"/>
      <w:lvlText w:val="."/>
      <w:lvlJc w:val="right"/>
      <w:pPr>
        <w:ind w:left="4860" w:hanging="180"/>
      </w:pPr>
    </w:lvl>
    <w:lvl w:ilvl="6">
      <w:start w:val="1"/>
      <w:numFmt w:val="decimal"/>
      <w:lvlText w:val="."/>
      <w:lvlJc w:val="left"/>
      <w:pPr>
        <w:ind w:left="5580" w:hanging="360"/>
      </w:pPr>
    </w:lvl>
    <w:lvl w:ilvl="7">
      <w:start w:val="1"/>
      <w:numFmt w:val="lowerLetter"/>
      <w:lvlText w:val="."/>
      <w:lvlJc w:val="left"/>
      <w:pPr>
        <w:ind w:left="6300" w:hanging="360"/>
      </w:pPr>
    </w:lvl>
    <w:lvl w:ilvl="8">
      <w:start w:val="1"/>
      <w:numFmt w:val="lowerRoman"/>
      <w:lvlText w:val="."/>
      <w:lvlJc w:val="right"/>
      <w:pPr>
        <w:ind w:left="7020" w:hanging="180"/>
      </w:pPr>
    </w:lvl>
  </w:abstractNum>
  <w:num w:numId="1" w16cid:durableId="1601179214">
    <w:abstractNumId w:val="0"/>
  </w:num>
  <w:num w:numId="2" w16cid:durableId="1068965481">
    <w:abstractNumId w:val="1"/>
  </w:num>
  <w:num w:numId="3" w16cid:durableId="1509982163">
    <w:abstractNumId w:val="4"/>
  </w:num>
  <w:num w:numId="4" w16cid:durableId="19166665">
    <w:abstractNumId w:val="2"/>
  </w:num>
  <w:num w:numId="5" w16cid:durableId="17383559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DF4"/>
    <w:rsid w:val="001259B1"/>
    <w:rsid w:val="0023504A"/>
    <w:rsid w:val="003F1144"/>
    <w:rsid w:val="005302D4"/>
    <w:rsid w:val="005335E9"/>
    <w:rsid w:val="00611040"/>
    <w:rsid w:val="00662AE5"/>
    <w:rsid w:val="00785AD8"/>
    <w:rsid w:val="007D6E2D"/>
    <w:rsid w:val="00805333"/>
    <w:rsid w:val="00825507"/>
    <w:rsid w:val="00906E5B"/>
    <w:rsid w:val="00A6682B"/>
    <w:rsid w:val="00C44DF4"/>
    <w:rsid w:val="00C5198D"/>
    <w:rsid w:val="00C9191A"/>
    <w:rsid w:val="00DF1815"/>
    <w:rsid w:val="00E524F0"/>
    <w:rsid w:val="00F2528C"/>
    <w:rsid w:val="00F94514"/>
    <w:rsid w:val="00F97A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47D54D"/>
  <w15:docId w15:val="{E84EDC3D-B463-4B6A-959C-19994D82F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en-IE"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before="120" w:after="200" w:line="264" w:lineRule="auto"/>
    </w:pPr>
    <w:rPr>
      <w:rFonts w:ascii="Arial" w:eastAsia="Times New Roman" w:hAnsi="Arial"/>
      <w:kern w:val="0"/>
      <w:sz w:val="22"/>
      <w:szCs w:val="22"/>
      <w:lang w:val="en-GB" w:eastAsia="ja-JP"/>
    </w:rPr>
  </w:style>
  <w:style w:type="paragraph" w:styleId="Heading1">
    <w:name w:val="heading 1"/>
    <w:basedOn w:val="Normal"/>
    <w:next w:val="Normal"/>
    <w:uiPriority w:val="9"/>
    <w:qFormat/>
    <w:pPr>
      <w:keepNext/>
      <w:keepLines/>
      <w:spacing w:before="360" w:after="80"/>
      <w:outlineLvl w:val="0"/>
    </w:pPr>
    <w:rPr>
      <w:rFonts w:ascii="Aptos Display" w:hAnsi="Aptos Display"/>
      <w:color w:val="0F4761"/>
      <w:sz w:val="40"/>
      <w:szCs w:val="40"/>
    </w:rPr>
  </w:style>
  <w:style w:type="paragraph" w:styleId="Heading2">
    <w:name w:val="heading 2"/>
    <w:basedOn w:val="Normal"/>
    <w:next w:val="Normal"/>
    <w:uiPriority w:val="9"/>
    <w:semiHidden/>
    <w:unhideWhenUsed/>
    <w:qFormat/>
    <w:pPr>
      <w:keepNext/>
      <w:keepLines/>
      <w:spacing w:before="160" w:after="80"/>
      <w:outlineLvl w:val="1"/>
    </w:pPr>
    <w:rPr>
      <w:rFonts w:ascii="Aptos Display" w:hAnsi="Aptos Display"/>
      <w:color w:val="0F4761"/>
      <w:sz w:val="32"/>
      <w:szCs w:val="32"/>
    </w:rPr>
  </w:style>
  <w:style w:type="paragraph" w:styleId="Heading3">
    <w:name w:val="heading 3"/>
    <w:basedOn w:val="Normal"/>
    <w:next w:val="Normal"/>
    <w:uiPriority w:val="9"/>
    <w:semiHidden/>
    <w:unhideWhenUsed/>
    <w:qFormat/>
    <w:pPr>
      <w:keepNext/>
      <w:keepLines/>
      <w:spacing w:before="160" w:after="80"/>
      <w:outlineLvl w:val="2"/>
    </w:pPr>
    <w:rPr>
      <w:color w:val="0F4761"/>
      <w:sz w:val="28"/>
      <w:szCs w:val="28"/>
    </w:rPr>
  </w:style>
  <w:style w:type="paragraph" w:styleId="Heading4">
    <w:name w:val="heading 4"/>
    <w:basedOn w:val="Normal"/>
    <w:next w:val="Normal"/>
    <w:uiPriority w:val="9"/>
    <w:semiHidden/>
    <w:unhideWhenUsed/>
    <w:qFormat/>
    <w:pPr>
      <w:keepNext/>
      <w:keepLines/>
      <w:spacing w:before="80" w:after="40"/>
      <w:outlineLvl w:val="3"/>
    </w:pPr>
    <w:rPr>
      <w:i/>
      <w:iCs/>
      <w:color w:val="0F4761"/>
    </w:rPr>
  </w:style>
  <w:style w:type="paragraph" w:styleId="Heading5">
    <w:name w:val="heading 5"/>
    <w:basedOn w:val="Normal"/>
    <w:next w:val="Normal"/>
    <w:uiPriority w:val="9"/>
    <w:semiHidden/>
    <w:unhideWhenUsed/>
    <w:qFormat/>
    <w:pPr>
      <w:keepNext/>
      <w:keepLines/>
      <w:spacing w:before="80" w:after="40"/>
      <w:outlineLvl w:val="4"/>
    </w:pPr>
    <w:rPr>
      <w:color w:val="0F4761"/>
    </w:rPr>
  </w:style>
  <w:style w:type="paragraph" w:styleId="Heading6">
    <w:name w:val="heading 6"/>
    <w:basedOn w:val="Normal"/>
    <w:next w:val="Normal"/>
    <w:uiPriority w:val="9"/>
    <w:semiHidden/>
    <w:unhideWhenUsed/>
    <w:qFormat/>
    <w:pPr>
      <w:keepNext/>
      <w:keepLines/>
      <w:spacing w:before="40" w:after="0"/>
      <w:outlineLvl w:val="5"/>
    </w:pPr>
    <w:rPr>
      <w:i/>
      <w:iCs/>
      <w:color w:val="595959"/>
    </w:rPr>
  </w:style>
  <w:style w:type="paragraph" w:styleId="Heading7">
    <w:name w:val="heading 7"/>
    <w:basedOn w:val="Normal"/>
    <w:next w:val="Normal"/>
    <w:pPr>
      <w:keepNext/>
      <w:keepLines/>
      <w:spacing w:before="40" w:after="0"/>
      <w:outlineLvl w:val="6"/>
    </w:pPr>
    <w:rPr>
      <w:color w:val="595959"/>
    </w:rPr>
  </w:style>
  <w:style w:type="paragraph" w:styleId="Heading8">
    <w:name w:val="heading 8"/>
    <w:basedOn w:val="Normal"/>
    <w:next w:val="Normal"/>
    <w:pPr>
      <w:keepNext/>
      <w:keepLines/>
      <w:spacing w:after="0"/>
      <w:outlineLvl w:val="7"/>
    </w:pPr>
    <w:rPr>
      <w:i/>
      <w:iCs/>
      <w:color w:val="272727"/>
    </w:rPr>
  </w:style>
  <w:style w:type="paragraph" w:styleId="Heading9">
    <w:name w:val="heading 9"/>
    <w:basedOn w:val="Normal"/>
    <w:next w:val="Normal"/>
    <w:pPr>
      <w:keepNext/>
      <w:keepLines/>
      <w:spacing w:after="0"/>
      <w:outlineLvl w:val="8"/>
    </w:pPr>
    <w:rPr>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Pr>
      <w:rFonts w:ascii="Aptos Display" w:eastAsia="Times New Roman" w:hAnsi="Aptos Display" w:cs="Times New Roman"/>
      <w:color w:val="0F4761"/>
      <w:sz w:val="40"/>
      <w:szCs w:val="40"/>
    </w:rPr>
  </w:style>
  <w:style w:type="character" w:customStyle="1" w:styleId="Heading2Char">
    <w:name w:val="Heading 2 Char"/>
    <w:basedOn w:val="DefaultParagraphFont"/>
    <w:rPr>
      <w:rFonts w:ascii="Aptos Display" w:eastAsia="Times New Roman" w:hAnsi="Aptos Display" w:cs="Times New Roman"/>
      <w:color w:val="0F4761"/>
      <w:sz w:val="32"/>
      <w:szCs w:val="32"/>
    </w:rPr>
  </w:style>
  <w:style w:type="character" w:customStyle="1" w:styleId="Heading3Char">
    <w:name w:val="Heading 3 Char"/>
    <w:basedOn w:val="DefaultParagraphFont"/>
    <w:rPr>
      <w:rFonts w:eastAsia="Times New Roman" w:cs="Times New Roman"/>
      <w:color w:val="0F4761"/>
      <w:sz w:val="28"/>
      <w:szCs w:val="28"/>
    </w:rPr>
  </w:style>
  <w:style w:type="character" w:customStyle="1" w:styleId="Heading4Char">
    <w:name w:val="Heading 4 Char"/>
    <w:basedOn w:val="DefaultParagraphFont"/>
    <w:rPr>
      <w:rFonts w:eastAsia="Times New Roman" w:cs="Times New Roman"/>
      <w:i/>
      <w:iCs/>
      <w:color w:val="0F4761"/>
    </w:rPr>
  </w:style>
  <w:style w:type="character" w:customStyle="1" w:styleId="Heading5Char">
    <w:name w:val="Heading 5 Char"/>
    <w:basedOn w:val="DefaultParagraphFont"/>
    <w:rPr>
      <w:rFonts w:eastAsia="Times New Roman" w:cs="Times New Roman"/>
      <w:color w:val="0F4761"/>
    </w:rPr>
  </w:style>
  <w:style w:type="character" w:customStyle="1" w:styleId="Heading6Char">
    <w:name w:val="Heading 6 Char"/>
    <w:basedOn w:val="DefaultParagraphFont"/>
    <w:rPr>
      <w:rFonts w:eastAsia="Times New Roman" w:cs="Times New Roman"/>
      <w:i/>
      <w:iCs/>
      <w:color w:val="595959"/>
    </w:rPr>
  </w:style>
  <w:style w:type="character" w:customStyle="1" w:styleId="Heading7Char">
    <w:name w:val="Heading 7 Char"/>
    <w:basedOn w:val="DefaultParagraphFont"/>
    <w:rPr>
      <w:rFonts w:eastAsia="Times New Roman" w:cs="Times New Roman"/>
      <w:color w:val="595959"/>
    </w:rPr>
  </w:style>
  <w:style w:type="character" w:customStyle="1" w:styleId="Heading8Char">
    <w:name w:val="Heading 8 Char"/>
    <w:basedOn w:val="DefaultParagraphFont"/>
    <w:rPr>
      <w:rFonts w:eastAsia="Times New Roman" w:cs="Times New Roman"/>
      <w:i/>
      <w:iCs/>
      <w:color w:val="272727"/>
    </w:rPr>
  </w:style>
  <w:style w:type="character" w:customStyle="1" w:styleId="Heading9Char">
    <w:name w:val="Heading 9 Char"/>
    <w:basedOn w:val="DefaultParagraphFont"/>
    <w:rPr>
      <w:rFonts w:eastAsia="Times New Roman" w:cs="Times New Roman"/>
      <w:color w:val="272727"/>
    </w:rPr>
  </w:style>
  <w:style w:type="paragraph" w:styleId="Title">
    <w:name w:val="Title"/>
    <w:basedOn w:val="Normal"/>
    <w:next w:val="Normal"/>
    <w:uiPriority w:val="10"/>
    <w:qFormat/>
    <w:pPr>
      <w:spacing w:after="80" w:line="240" w:lineRule="auto"/>
      <w:contextualSpacing/>
    </w:pPr>
    <w:rPr>
      <w:rFonts w:ascii="Aptos Display" w:hAnsi="Aptos Display"/>
      <w:spacing w:val="-10"/>
      <w:kern w:val="3"/>
      <w:sz w:val="56"/>
      <w:szCs w:val="56"/>
    </w:rPr>
  </w:style>
  <w:style w:type="character" w:customStyle="1" w:styleId="TitleChar">
    <w:name w:val="Title Char"/>
    <w:basedOn w:val="DefaultParagraphFont"/>
    <w:rPr>
      <w:rFonts w:ascii="Aptos Display" w:eastAsia="Times New Roman" w:hAnsi="Aptos Display" w:cs="Times New Roman"/>
      <w:spacing w:val="-10"/>
      <w:kern w:val="3"/>
      <w:sz w:val="56"/>
      <w:szCs w:val="56"/>
    </w:rPr>
  </w:style>
  <w:style w:type="paragraph" w:styleId="Subtitle">
    <w:name w:val="Subtitle"/>
    <w:basedOn w:val="Normal"/>
    <w:next w:val="Normal"/>
    <w:uiPriority w:val="11"/>
    <w:qFormat/>
    <w:rPr>
      <w:color w:val="595959"/>
      <w:spacing w:val="15"/>
      <w:sz w:val="28"/>
      <w:szCs w:val="28"/>
    </w:rPr>
  </w:style>
  <w:style w:type="character" w:customStyle="1" w:styleId="SubtitleChar">
    <w:name w:val="Subtitle Char"/>
    <w:basedOn w:val="DefaultParagraphFont"/>
    <w:rPr>
      <w:rFonts w:eastAsia="Times New Roman" w:cs="Times New Roman"/>
      <w:color w:val="595959"/>
      <w:spacing w:val="15"/>
      <w:sz w:val="28"/>
      <w:szCs w:val="28"/>
    </w:rPr>
  </w:style>
  <w:style w:type="paragraph" w:styleId="Quote">
    <w:name w:val="Quote"/>
    <w:basedOn w:val="Normal"/>
    <w:next w:val="Normal"/>
    <w:pPr>
      <w:spacing w:before="160"/>
      <w:jc w:val="center"/>
    </w:pPr>
    <w:rPr>
      <w:i/>
      <w:iCs/>
      <w:color w:val="404040"/>
    </w:rPr>
  </w:style>
  <w:style w:type="character" w:customStyle="1" w:styleId="QuoteChar">
    <w:name w:val="Quote Char"/>
    <w:basedOn w:val="DefaultParagraphFont"/>
    <w:rPr>
      <w:i/>
      <w:iCs/>
      <w:color w:val="404040"/>
    </w:rPr>
  </w:style>
  <w:style w:type="paragraph" w:styleId="ListParagraph">
    <w:name w:val="List Paragraph"/>
    <w:basedOn w:val="Normal"/>
    <w:pPr>
      <w:ind w:left="720"/>
      <w:contextualSpacing/>
    </w:pPr>
  </w:style>
  <w:style w:type="character" w:styleId="IntenseEmphasis">
    <w:name w:val="Intense Emphasis"/>
    <w:basedOn w:val="DefaultParagraphFont"/>
    <w:rPr>
      <w:i/>
      <w:iCs/>
      <w:color w:val="0F4761"/>
    </w:rPr>
  </w:style>
  <w:style w:type="paragraph" w:styleId="IntenseQuote">
    <w:name w:val="Intense Quote"/>
    <w:basedOn w:val="Normal"/>
    <w:next w:val="Normal"/>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basedOn w:val="DefaultParagraphFont"/>
    <w:rPr>
      <w:i/>
      <w:iCs/>
      <w:color w:val="0F4761"/>
    </w:rPr>
  </w:style>
  <w:style w:type="character" w:styleId="IntenseReference">
    <w:name w:val="Intense Reference"/>
    <w:basedOn w:val="DefaultParagraphFont"/>
    <w:rPr>
      <w:b/>
      <w:bCs/>
      <w:smallCaps/>
      <w:color w:val="0F4761"/>
      <w:spacing w:val="5"/>
    </w:rPr>
  </w:style>
  <w:style w:type="character" w:customStyle="1" w:styleId="ListParagraphChar">
    <w:name w:val="List Paragraph Char"/>
    <w:basedOn w:val="DefaultParagraphFont"/>
  </w:style>
  <w:style w:type="character" w:styleId="CommentReference">
    <w:name w:val="annotation reference"/>
    <w:basedOn w:val="DefaultParagraphFont"/>
    <w:uiPriority w:val="99"/>
    <w:semiHidden/>
    <w:unhideWhenUsed/>
    <w:rsid w:val="001259B1"/>
    <w:rPr>
      <w:sz w:val="16"/>
      <w:szCs w:val="16"/>
    </w:rPr>
  </w:style>
  <w:style w:type="paragraph" w:styleId="CommentText">
    <w:name w:val="annotation text"/>
    <w:basedOn w:val="Normal"/>
    <w:link w:val="CommentTextChar"/>
    <w:uiPriority w:val="99"/>
    <w:unhideWhenUsed/>
    <w:rsid w:val="001259B1"/>
    <w:pPr>
      <w:spacing w:line="240" w:lineRule="auto"/>
    </w:pPr>
    <w:rPr>
      <w:sz w:val="20"/>
      <w:szCs w:val="20"/>
    </w:rPr>
  </w:style>
  <w:style w:type="character" w:customStyle="1" w:styleId="CommentTextChar">
    <w:name w:val="Comment Text Char"/>
    <w:basedOn w:val="DefaultParagraphFont"/>
    <w:link w:val="CommentText"/>
    <w:uiPriority w:val="99"/>
    <w:rsid w:val="001259B1"/>
    <w:rPr>
      <w:rFonts w:ascii="Arial" w:eastAsia="Times New Roman" w:hAnsi="Arial"/>
      <w:kern w:val="0"/>
      <w:sz w:val="20"/>
      <w:szCs w:val="20"/>
      <w:lang w:val="en-GB" w:eastAsia="ja-JP"/>
    </w:rPr>
  </w:style>
  <w:style w:type="paragraph" w:styleId="CommentSubject">
    <w:name w:val="annotation subject"/>
    <w:basedOn w:val="CommentText"/>
    <w:next w:val="CommentText"/>
    <w:link w:val="CommentSubjectChar"/>
    <w:uiPriority w:val="99"/>
    <w:semiHidden/>
    <w:unhideWhenUsed/>
    <w:rsid w:val="001259B1"/>
    <w:rPr>
      <w:b/>
      <w:bCs/>
    </w:rPr>
  </w:style>
  <w:style w:type="character" w:customStyle="1" w:styleId="CommentSubjectChar">
    <w:name w:val="Comment Subject Char"/>
    <w:basedOn w:val="CommentTextChar"/>
    <w:link w:val="CommentSubject"/>
    <w:uiPriority w:val="99"/>
    <w:semiHidden/>
    <w:rsid w:val="001259B1"/>
    <w:rPr>
      <w:rFonts w:ascii="Arial" w:eastAsia="Times New Roman" w:hAnsi="Arial"/>
      <w:b/>
      <w:bCs/>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12</Pages>
  <Words>1724</Words>
  <Characters>9828</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O'Leary</dc:creator>
  <dc:description/>
  <cp:lastModifiedBy>Helen Lawler-Coulet</cp:lastModifiedBy>
  <cp:revision>2</cp:revision>
  <dcterms:created xsi:type="dcterms:W3CDTF">2026-08-18T13:56:00Z</dcterms:created>
  <dcterms:modified xsi:type="dcterms:W3CDTF">2026-08-18T13:56:00Z</dcterms:modified>
</cp:coreProperties>
</file>